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4"/>
          <w:szCs w:val="14"/>
        </w:rPr>
      </w:pPr>
      <w:r w:rsidDel="00000000" w:rsidR="00000000" w:rsidRPr="00000000">
        <w:rPr>
          <w:rtl w:val="0"/>
        </w:rPr>
      </w:r>
    </w:p>
    <w:p w:rsidR="00000000" w:rsidDel="00000000" w:rsidP="00000000" w:rsidRDefault="00000000" w:rsidRPr="00000000" w14:paraId="00000002">
      <w:pPr>
        <w:rPr>
          <w:b w:val="1"/>
          <w:color w:val="3b66bc"/>
          <w:sz w:val="40"/>
          <w:szCs w:val="40"/>
          <w:highlight w:val="white"/>
        </w:rPr>
      </w:pPr>
      <w:bookmarkStart w:colFirst="0" w:colLast="0" w:name="_heading=h.gjdgxs" w:id="0"/>
      <w:bookmarkEnd w:id="0"/>
      <w:r w:rsidDel="00000000" w:rsidR="00000000" w:rsidRPr="00000000">
        <w:rPr>
          <w:b w:val="1"/>
          <w:color w:val="3b66bc"/>
          <w:sz w:val="40"/>
          <w:szCs w:val="40"/>
          <w:highlight w:val="white"/>
          <w:rtl w:val="0"/>
        </w:rPr>
        <w:t xml:space="preserve">Evaluation support for HEPs to develop theories of change for attainment-raising activities/interventions</w:t>
      </w:r>
    </w:p>
    <w:p w:rsidR="00000000" w:rsidDel="00000000" w:rsidP="00000000" w:rsidRDefault="00000000" w:rsidRPr="00000000" w14:paraId="00000003">
      <w:pPr>
        <w:rPr>
          <w:color w:val="000000"/>
          <w:highlight w:val="white"/>
        </w:rPr>
      </w:pPr>
      <w:r w:rsidDel="00000000" w:rsidR="00000000" w:rsidRPr="00000000">
        <w:rPr>
          <w:highlight w:val="white"/>
          <w:rtl w:val="0"/>
        </w:rPr>
        <w:t xml:space="preserve">June 2022</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spacing w:before="120" w:lineRule="auto"/>
        <w:rPr>
          <w:color w:val="3b66bc"/>
          <w:sz w:val="24"/>
          <w:szCs w:val="24"/>
        </w:rPr>
      </w:pPr>
      <w:bookmarkStart w:colFirst="0" w:colLast="0" w:name="_heading=h.w1kblnku4cla" w:id="1"/>
      <w:bookmarkEnd w:id="1"/>
      <w:r w:rsidDel="00000000" w:rsidR="00000000" w:rsidRPr="00000000">
        <w:rPr>
          <w:color w:val="3b66bc"/>
          <w:sz w:val="24"/>
          <w:szCs w:val="24"/>
          <w:rtl w:val="0"/>
        </w:rPr>
        <w:t xml:space="preserve">Open call for HEPs</w:t>
      </w:r>
    </w:p>
    <w:p w:rsidR="00000000" w:rsidDel="00000000" w:rsidP="00000000" w:rsidRDefault="00000000" w:rsidRPr="00000000" w14:paraId="00000006">
      <w:pPr>
        <w:rPr/>
      </w:pPr>
      <w:r w:rsidDel="00000000" w:rsidR="00000000" w:rsidRPr="00000000">
        <w:rPr>
          <w:rtl w:val="0"/>
        </w:rPr>
        <w:t xml:space="preserve">The Centre for Transforming Access and Student Outcomes in Higher Education (</w:t>
      </w:r>
      <w:r w:rsidDel="00000000" w:rsidR="00000000" w:rsidRPr="00000000">
        <w:rPr>
          <w:rtl w:val="0"/>
        </w:rPr>
        <w:t xml:space="preserve">TASO) is offering to match HE providers (HEPs) with members of our evaluation panel and fund independent evaluation support to develop theories of change (TOCs) for attainment-raising activities/interventions. These activities should be targeted towards primary or secondary age school pupils and closely align with the types of activities set out in TASO’s </w:t>
      </w:r>
      <w:hyperlink r:id="rId8">
        <w:r w:rsidDel="00000000" w:rsidR="00000000" w:rsidRPr="00000000">
          <w:rPr>
            <w:color w:val="1155cc"/>
            <w:u w:val="single"/>
            <w:rtl w:val="0"/>
          </w:rPr>
          <w:t xml:space="preserve">attainment-raising evidence review and typology</w:t>
        </w:r>
      </w:hyperlink>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TASO will publish these TOCs as prototypes for the sector to use. It is an opportunity for participating HEPs to build internal evaluation expertise specifically in relation to designing high-quality TOCs, and contribute towards TASO’s ambition to support better evaluation of attainment-raising activities.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color w:val="3b66bc"/>
        </w:rPr>
      </w:pPr>
      <w:r w:rsidDel="00000000" w:rsidR="00000000" w:rsidRPr="00000000">
        <w:rPr>
          <w:b w:val="1"/>
          <w:color w:val="3b66bc"/>
          <w:rtl w:val="0"/>
        </w:rPr>
        <w:t xml:space="preserve">Introduction</w:t>
      </w:r>
      <w:r w:rsidDel="00000000" w:rsidR="00000000" w:rsidRPr="00000000">
        <w:rPr>
          <w:b w:val="1"/>
          <w:color w:val="3b66bc"/>
          <w:rtl w:val="0"/>
        </w:rPr>
        <w:t xml:space="preserve"> to TASO </w:t>
      </w:r>
    </w:p>
    <w:p w:rsidR="00000000" w:rsidDel="00000000" w:rsidP="00000000" w:rsidRDefault="00000000" w:rsidRPr="00000000" w14:paraId="0000000B">
      <w:pPr>
        <w:rPr/>
      </w:pPr>
      <w:r w:rsidDel="00000000" w:rsidR="00000000" w:rsidRPr="00000000">
        <w:rPr>
          <w:rtl w:val="0"/>
        </w:rPr>
        <w:t xml:space="preserve">TASO aims to improve lives through evidence-based practice in higher education (HE). Our vision is to eliminate equality gaps for disadvantaged and underrepresented groups, allowing all students to have the same chance to enter HE, get a good degree and progress into further study or employment. </w:t>
      </w:r>
    </w:p>
    <w:p w:rsidR="00000000" w:rsidDel="00000000" w:rsidP="00000000" w:rsidRDefault="00000000" w:rsidRPr="00000000" w14:paraId="0000000C">
      <w:pPr>
        <w:rPr>
          <w:color w:val="0e101a"/>
        </w:rPr>
      </w:pPr>
      <w:r w:rsidDel="00000000" w:rsidR="00000000" w:rsidRPr="00000000">
        <w:rPr>
          <w:rtl w:val="0"/>
        </w:rPr>
        <w:br w:type="textWrapping"/>
      </w:r>
      <w:r w:rsidDel="00000000" w:rsidR="00000000" w:rsidRPr="00000000">
        <w:rPr>
          <w:color w:val="0e101a"/>
          <w:rtl w:val="0"/>
        </w:rPr>
        <w:t xml:space="preserve">TASO is an affiliate ‘What Works’ centre and is part of the </w:t>
      </w:r>
      <w:hyperlink r:id="rId9">
        <w:r w:rsidDel="00000000" w:rsidR="00000000" w:rsidRPr="00000000">
          <w:rPr>
            <w:color w:val="0563c1"/>
            <w:u w:val="single"/>
            <w:rtl w:val="0"/>
          </w:rPr>
          <w:t xml:space="preserve">UK Government’s What Works Movement. </w:t>
        </w:r>
      </w:hyperlink>
      <w:r w:rsidDel="00000000" w:rsidR="00000000" w:rsidRPr="00000000">
        <w:rPr>
          <w:color w:val="0e101a"/>
          <w:rtl w:val="0"/>
        </w:rPr>
        <w:t xml:space="preserve">This means that TASO is committed to the generation, synthesis and dissemination of high-quality evidence about effective practice in widening participation and student success. Our role is to help the sector produce more </w:t>
      </w:r>
      <w:hyperlink r:id="rId10">
        <w:r w:rsidDel="00000000" w:rsidR="00000000" w:rsidRPr="00000000">
          <w:rPr>
            <w:color w:val="0563c1"/>
            <w:u w:val="single"/>
            <w:rtl w:val="0"/>
          </w:rPr>
          <w:t xml:space="preserve">Type 3 evidence</w:t>
        </w:r>
      </w:hyperlink>
      <w:r w:rsidDel="00000000" w:rsidR="00000000" w:rsidRPr="00000000">
        <w:rPr>
          <w:color w:val="0e101a"/>
          <w:rtl w:val="0"/>
        </w:rPr>
        <w:t xml:space="preserve"> as this provides us with the best possible understanding of which activities and approaches are most effective.</w:t>
      </w:r>
    </w:p>
    <w:p w:rsidR="00000000" w:rsidDel="00000000" w:rsidP="00000000" w:rsidRDefault="00000000" w:rsidRPr="00000000" w14:paraId="0000000D">
      <w:pPr>
        <w:rPr>
          <w:color w:val="0e101a"/>
        </w:rPr>
      </w:pPr>
      <w:r w:rsidDel="00000000" w:rsidR="00000000" w:rsidRPr="00000000">
        <w:rPr>
          <w:rtl w:val="0"/>
        </w:rPr>
      </w:r>
    </w:p>
    <w:p w:rsidR="00000000" w:rsidDel="00000000" w:rsidP="00000000" w:rsidRDefault="00000000" w:rsidRPr="00000000" w14:paraId="0000000E">
      <w:pPr>
        <w:rPr>
          <w:color w:val="0e101a"/>
        </w:rPr>
      </w:pPr>
      <w:r w:rsidDel="00000000" w:rsidR="00000000" w:rsidRPr="00000000">
        <w:rPr>
          <w:b w:val="1"/>
          <w:color w:val="3b66bc"/>
          <w:rtl w:val="0"/>
        </w:rPr>
        <w:t xml:space="preserve">Background</w:t>
      </w:r>
      <w:r w:rsidDel="00000000" w:rsidR="00000000" w:rsidRPr="00000000">
        <w:rPr>
          <w:rtl w:val="0"/>
        </w:rPr>
      </w:r>
    </w:p>
    <w:p w:rsidR="00000000" w:rsidDel="00000000" w:rsidP="00000000" w:rsidRDefault="00000000" w:rsidRPr="00000000" w14:paraId="0000000F">
      <w:pPr>
        <w:rPr>
          <w:color w:val="0e101a"/>
        </w:rPr>
      </w:pPr>
      <w:r w:rsidDel="00000000" w:rsidR="00000000" w:rsidRPr="00000000">
        <w:rPr>
          <w:color w:val="0e101a"/>
          <w:rtl w:val="0"/>
        </w:rPr>
        <w:t xml:space="preserve">Earlier this year, the Office for Students’ (OfS) called for universities and other HEPs to do more to raise the academic attainment of school students through widening participation (WP) activities. Evidence shows that academic achievement is the most important predictor of university progression</w:t>
      </w:r>
      <w:r w:rsidDel="00000000" w:rsidR="00000000" w:rsidRPr="00000000">
        <w:rPr>
          <w:color w:val="0e101a"/>
          <w:vertAlign w:val="superscript"/>
        </w:rPr>
        <w:footnoteReference w:customMarkFollows="0" w:id="0"/>
      </w:r>
      <w:r w:rsidDel="00000000" w:rsidR="00000000" w:rsidRPr="00000000">
        <w:rPr>
          <w:color w:val="0e101a"/>
          <w:rtl w:val="0"/>
        </w:rPr>
        <w:t xml:space="preserve">. Yet there are persistent equality gaps in GCSE attainment. What’s more, many working within the sector are unclear about what attainment-raising activities should be prioritised and where efforts should be focused. </w:t>
      </w:r>
    </w:p>
    <w:p w:rsidR="00000000" w:rsidDel="00000000" w:rsidP="00000000" w:rsidRDefault="00000000" w:rsidRPr="00000000" w14:paraId="00000010">
      <w:pPr>
        <w:rPr>
          <w:color w:val="0e101a"/>
        </w:rPr>
      </w:pPr>
      <w:r w:rsidDel="00000000" w:rsidR="00000000" w:rsidRPr="00000000">
        <w:rPr>
          <w:rtl w:val="0"/>
        </w:rPr>
      </w:r>
    </w:p>
    <w:p w:rsidR="00000000" w:rsidDel="00000000" w:rsidP="00000000" w:rsidRDefault="00000000" w:rsidRPr="00000000" w14:paraId="00000011">
      <w:pPr>
        <w:rPr/>
      </w:pPr>
      <w:r w:rsidDel="00000000" w:rsidR="00000000" w:rsidRPr="00000000">
        <w:rPr>
          <w:color w:val="0e101a"/>
          <w:rtl w:val="0"/>
        </w:rPr>
        <w:t xml:space="preserve">TASO recently published </w:t>
      </w:r>
      <w:r w:rsidDel="00000000" w:rsidR="00000000" w:rsidRPr="00000000">
        <w:rPr>
          <w:rtl w:val="0"/>
        </w:rPr>
        <w:t xml:space="preserve">a </w:t>
      </w:r>
      <w:r w:rsidDel="00000000" w:rsidR="00000000" w:rsidRPr="00000000">
        <w:rPr>
          <w:rtl w:val="0"/>
        </w:rPr>
        <w:t xml:space="preserve">working draft of an evidence review</w:t>
      </w:r>
      <w:r w:rsidDel="00000000" w:rsidR="00000000" w:rsidRPr="00000000">
        <w:rPr>
          <w:rtl w:val="0"/>
        </w:rPr>
        <w:t xml:space="preserve"> and typology of attainment-raising interventions (available </w:t>
      </w:r>
      <w:hyperlink r:id="rId11">
        <w:r w:rsidDel="00000000" w:rsidR="00000000" w:rsidRPr="00000000">
          <w:rPr>
            <w:color w:val="1155cc"/>
            <w:u w:val="single"/>
            <w:rtl w:val="0"/>
          </w:rPr>
          <w:t xml:space="preserve">here</w:t>
        </w:r>
      </w:hyperlink>
      <w:r w:rsidDel="00000000" w:rsidR="00000000" w:rsidRPr="00000000">
        <w:rPr>
          <w:rtl w:val="0"/>
        </w:rPr>
        <w:t xml:space="preserve">), assessing the strength and limitations of the evidence base. It is intended to help the sector understand:</w:t>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What interventions HEPs are currently delivering to support improvements in attainment for school-aged students (both primary and secondary);</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The extent to which these interventions have been evaluated and the quality of this evaluation;</w:t>
      </w:r>
    </w:p>
    <w:p w:rsidR="00000000" w:rsidDel="00000000" w:rsidP="00000000" w:rsidRDefault="00000000" w:rsidRPr="00000000" w14:paraId="00000014">
      <w:pPr>
        <w:numPr>
          <w:ilvl w:val="0"/>
          <w:numId w:val="4"/>
        </w:numPr>
        <w:ind w:left="720" w:hanging="360"/>
      </w:pPr>
      <w:r w:rsidDel="00000000" w:rsidR="00000000" w:rsidRPr="00000000">
        <w:rPr>
          <w:rtl w:val="0"/>
        </w:rPr>
        <w:t xml:space="preserve">How TASO and the HE sector could enhance the evidence-base in future to help reduce attainment gaps. </w:t>
      </w:r>
      <w:r w:rsidDel="00000000" w:rsidR="00000000" w:rsidRPr="00000000">
        <w:rPr>
          <w:rtl w:val="0"/>
        </w:rPr>
      </w:r>
    </w:p>
    <w:p w:rsidR="00000000" w:rsidDel="00000000" w:rsidP="00000000" w:rsidRDefault="00000000" w:rsidRPr="00000000" w14:paraId="00000015">
      <w:pPr>
        <w:rPr>
          <w:color w:val="0e101a"/>
        </w:rPr>
      </w:pPr>
      <w:r w:rsidDel="00000000" w:rsidR="00000000" w:rsidRPr="00000000">
        <w:rPr>
          <w:rtl w:val="0"/>
        </w:rPr>
      </w:r>
    </w:p>
    <w:p w:rsidR="00000000" w:rsidDel="00000000" w:rsidP="00000000" w:rsidRDefault="00000000" w:rsidRPr="00000000" w14:paraId="00000016">
      <w:pPr>
        <w:rPr/>
      </w:pPr>
      <w:r w:rsidDel="00000000" w:rsidR="00000000" w:rsidRPr="00000000">
        <w:rPr>
          <w:color w:val="0e101a"/>
          <w:rtl w:val="0"/>
        </w:rPr>
        <w:t xml:space="preserve">In this report, we state that few attainment-raising interventions currently set out how they are expected to facilitate improvements in attainment. We therefore recommend that HEPs develop theories of change for any planned attainment-raising activities. The project outlined in this open call is designed to directly support this objective.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color w:val="3b66bc"/>
          <w:sz w:val="24"/>
          <w:szCs w:val="24"/>
        </w:rPr>
      </w:pPr>
      <w:r w:rsidDel="00000000" w:rsidR="00000000" w:rsidRPr="00000000">
        <w:rPr>
          <w:b w:val="1"/>
          <w:color w:val="3b66bc"/>
          <w:sz w:val="24"/>
          <w:szCs w:val="24"/>
          <w:rtl w:val="0"/>
        </w:rPr>
        <w:t xml:space="preserve">Scope</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TASO will fund members of our independent Panel of Evaluators to work with HEPs and develop TOCs on attainment-raising activities/interventions. Once developed, these TOCs will be </w:t>
      </w:r>
      <w:r w:rsidDel="00000000" w:rsidR="00000000" w:rsidRPr="00000000">
        <w:rPr>
          <w:rtl w:val="0"/>
        </w:rPr>
        <w:t xml:space="preserve">published</w:t>
      </w:r>
      <w:r w:rsidDel="00000000" w:rsidR="00000000" w:rsidRPr="00000000">
        <w:rPr>
          <w:rtl w:val="0"/>
        </w:rPr>
        <w:t xml:space="preserve"> and accessible for the wider sector to use.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 are particularly interested in supporting proposals that relate to activities/interventions that are:</w:t>
      </w:r>
    </w:p>
    <w:p w:rsidR="00000000" w:rsidDel="00000000" w:rsidP="00000000" w:rsidRDefault="00000000" w:rsidRPr="00000000" w14:paraId="0000001C">
      <w:pPr>
        <w:numPr>
          <w:ilvl w:val="0"/>
          <w:numId w:val="2"/>
        </w:numPr>
        <w:spacing w:before="60" w:line="264" w:lineRule="auto"/>
        <w:ind w:left="720" w:right="96" w:hanging="360"/>
        <w:jc w:val="both"/>
        <w:rPr>
          <w:sz w:val="20"/>
          <w:szCs w:val="20"/>
        </w:rPr>
      </w:pPr>
      <w:r w:rsidDel="00000000" w:rsidR="00000000" w:rsidRPr="00000000">
        <w:rPr>
          <w:rtl w:val="0"/>
        </w:rPr>
        <w:t xml:space="preserve">Targeted towards primary or secondary age school pupils;</w:t>
      </w:r>
    </w:p>
    <w:p w:rsidR="00000000" w:rsidDel="00000000" w:rsidP="00000000" w:rsidRDefault="00000000" w:rsidRPr="00000000" w14:paraId="0000001D">
      <w:pPr>
        <w:numPr>
          <w:ilvl w:val="0"/>
          <w:numId w:val="2"/>
        </w:numPr>
        <w:spacing w:before="60" w:line="264" w:lineRule="auto"/>
        <w:ind w:left="720" w:right="96" w:hanging="360"/>
        <w:jc w:val="both"/>
        <w:rPr>
          <w:sz w:val="20"/>
          <w:szCs w:val="20"/>
        </w:rPr>
      </w:pPr>
      <w:r w:rsidDel="00000000" w:rsidR="00000000" w:rsidRPr="00000000">
        <w:rPr>
          <w:rtl w:val="0"/>
        </w:rPr>
        <w:t xml:space="preserve">Specifically designed to reduce equality gaps, whether delivered as part of a universal offer or through more targeted support to disadvantaged or underrepresented groups;</w:t>
      </w:r>
    </w:p>
    <w:p w:rsidR="00000000" w:rsidDel="00000000" w:rsidP="00000000" w:rsidRDefault="00000000" w:rsidRPr="00000000" w14:paraId="0000001E">
      <w:pPr>
        <w:numPr>
          <w:ilvl w:val="0"/>
          <w:numId w:val="2"/>
        </w:numPr>
        <w:spacing w:before="60" w:line="264" w:lineRule="auto"/>
        <w:ind w:left="720" w:right="96" w:hanging="360"/>
        <w:jc w:val="both"/>
        <w:rPr/>
      </w:pPr>
      <w:r w:rsidDel="00000000" w:rsidR="00000000" w:rsidRPr="00000000">
        <w:rPr>
          <w:rtl w:val="0"/>
        </w:rPr>
        <w:t xml:space="preserve">Commonly used by the sector (see examples below). </w:t>
      </w:r>
    </w:p>
    <w:p w:rsidR="00000000" w:rsidDel="00000000" w:rsidP="00000000" w:rsidRDefault="00000000" w:rsidRPr="00000000" w14:paraId="0000001F">
      <w:pPr>
        <w:spacing w:before="60" w:line="264" w:lineRule="auto"/>
        <w:ind w:right="96"/>
        <w:jc w:val="both"/>
        <w:rPr/>
      </w:pPr>
      <w:r w:rsidDel="00000000" w:rsidR="00000000" w:rsidRPr="00000000">
        <w:rPr>
          <w:rtl w:val="0"/>
        </w:rPr>
      </w:r>
    </w:p>
    <w:p w:rsidR="00000000" w:rsidDel="00000000" w:rsidP="00000000" w:rsidRDefault="00000000" w:rsidRPr="00000000" w14:paraId="00000020">
      <w:pPr>
        <w:spacing w:before="60" w:line="264" w:lineRule="auto"/>
        <w:ind w:right="96"/>
        <w:jc w:val="both"/>
        <w:rPr/>
      </w:pPr>
      <w:r w:rsidDel="00000000" w:rsidR="00000000" w:rsidRPr="00000000">
        <w:rPr>
          <w:rtl w:val="0"/>
        </w:rPr>
        <w:t xml:space="preserve">Drawing on the findings from the aforementioned report, we identified four main categories of attainment-raising activities. Examples of corresponding interventions/activities are set out in the table below. We would welcome submissions for interventions that are not mentioned but will prioritise widely used interventions. </w:t>
      </w:r>
    </w:p>
    <w:p w:rsidR="00000000" w:rsidDel="00000000" w:rsidP="00000000" w:rsidRDefault="00000000" w:rsidRPr="00000000" w14:paraId="00000021">
      <w:pPr>
        <w:rPr>
          <w:i w:val="1"/>
          <w:color w:val="4472c4"/>
        </w:rPr>
      </w:pPr>
      <w:r w:rsidDel="00000000" w:rsidR="00000000" w:rsidRPr="00000000">
        <w:rPr>
          <w:rtl w:val="0"/>
        </w:rPr>
      </w:r>
    </w:p>
    <w:tbl>
      <w:tblPr>
        <w:tblStyle w:val="Table1"/>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2.9032258064517"/>
        <w:gridCol w:w="3927.0967741935488"/>
        <w:gridCol w:w="2340"/>
        <w:tblGridChange w:id="0">
          <w:tblGrid>
            <w:gridCol w:w="3062.9032258064517"/>
            <w:gridCol w:w="3927.0967741935488"/>
            <w:gridCol w:w="2340"/>
          </w:tblGrid>
        </w:tblGridChange>
      </w:tblGrid>
      <w:tr>
        <w:trPr>
          <w:cantSplit w:val="0"/>
          <w:tblHeader w:val="0"/>
        </w:trPr>
        <w:tc>
          <w:tcPr>
            <w:shd w:fill="4472c4"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jc w:val="center"/>
              <w:rPr>
                <w:b w:val="1"/>
                <w:color w:val="ffffff"/>
              </w:rPr>
            </w:pPr>
            <w:r w:rsidDel="00000000" w:rsidR="00000000" w:rsidRPr="00000000">
              <w:rPr>
                <w:b w:val="1"/>
                <w:color w:val="ffffff"/>
                <w:rtl w:val="0"/>
              </w:rPr>
              <w:t xml:space="preserve">Type of intervention</w:t>
            </w:r>
          </w:p>
        </w:tc>
        <w:tc>
          <w:tcPr>
            <w:shd w:fill="4472c4"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jc w:val="center"/>
              <w:rPr>
                <w:b w:val="1"/>
                <w:color w:val="ffffff"/>
              </w:rPr>
            </w:pPr>
            <w:r w:rsidDel="00000000" w:rsidR="00000000" w:rsidRPr="00000000">
              <w:rPr>
                <w:b w:val="1"/>
                <w:color w:val="ffffff"/>
                <w:rtl w:val="0"/>
              </w:rPr>
              <w:t xml:space="preserve">What do interventions involve?</w:t>
            </w:r>
          </w:p>
        </w:tc>
        <w:tc>
          <w:tcPr>
            <w:shd w:fill="4472c4"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after="200" w:line="240" w:lineRule="auto"/>
              <w:jc w:val="center"/>
              <w:rPr>
                <w:b w:val="1"/>
                <w:color w:val="ffffff"/>
              </w:rPr>
            </w:pPr>
            <w:r w:rsidDel="00000000" w:rsidR="00000000" w:rsidRPr="00000000">
              <w:rPr>
                <w:b w:val="1"/>
                <w:color w:val="ffffff"/>
                <w:rtl w:val="0"/>
              </w:rPr>
              <w:t xml:space="preserve">How do they work?</w:t>
            </w:r>
          </w:p>
        </w:tc>
      </w:tr>
      <w:tr>
        <w:trPr>
          <w:cantSplit w:val="0"/>
          <w:tblHeader w:val="0"/>
        </w:trPr>
        <w:tc>
          <w:tcPr>
            <w:shd w:fill="e6eaf5" w:val="clear"/>
            <w:tcMar>
              <w:top w:w="100.0" w:type="dxa"/>
              <w:left w:w="100.0" w:type="dxa"/>
              <w:bottom w:w="100.0" w:type="dxa"/>
              <w:right w:w="100.0" w:type="dxa"/>
            </w:tcMar>
            <w:vAlign w:val="top"/>
          </w:tcPr>
          <w:p w:rsidR="00000000" w:rsidDel="00000000" w:rsidP="00000000" w:rsidRDefault="00000000" w:rsidRPr="00000000" w14:paraId="00000025">
            <w:pPr>
              <w:pStyle w:val="Heading1"/>
              <w:spacing w:before="0" w:lineRule="auto"/>
              <w:rPr>
                <w:sz w:val="22"/>
                <w:szCs w:val="22"/>
              </w:rPr>
            </w:pPr>
            <w:bookmarkStart w:colFirst="0" w:colLast="0" w:name="_heading=h.4npw09v7chbp" w:id="2"/>
            <w:bookmarkEnd w:id="2"/>
            <w:r w:rsidDel="00000000" w:rsidR="00000000" w:rsidRPr="00000000">
              <w:rPr>
                <w:sz w:val="22"/>
                <w:szCs w:val="22"/>
                <w:rtl w:val="0"/>
              </w:rPr>
              <w:t xml:space="preserve">Aspiration-raising activities </w:t>
            </w:r>
          </w:p>
        </w:tc>
        <w:tc>
          <w:tcPr>
            <w:shd w:fill="e6eaf5"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200" w:line="276" w:lineRule="auto"/>
              <w:rPr/>
            </w:pPr>
            <w:r w:rsidDel="00000000" w:rsidR="00000000" w:rsidRPr="00000000">
              <w:rPr>
                <w:rtl w:val="0"/>
              </w:rPr>
              <w:t xml:space="preserve">Common activities include open days, campus visits, subject tasters, and pastoral mentoring. </w:t>
            </w:r>
          </w:p>
          <w:p w:rsidR="00000000" w:rsidDel="00000000" w:rsidP="00000000" w:rsidRDefault="00000000" w:rsidRPr="00000000" w14:paraId="00000027">
            <w:pPr>
              <w:widowControl w:val="0"/>
              <w:spacing w:after="200" w:line="276" w:lineRule="auto"/>
              <w:rPr/>
            </w:pPr>
            <w:r w:rsidDel="00000000" w:rsidR="00000000" w:rsidRPr="00000000">
              <w:rPr>
                <w:rtl w:val="0"/>
              </w:rPr>
              <w:t xml:space="preserve">Interventions tend to be combined in a package (black box)</w:t>
            </w:r>
          </w:p>
        </w:tc>
        <w:tc>
          <w:tcPr>
            <w:shd w:fill="e6eaf5"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200" w:line="276" w:lineRule="auto"/>
              <w:rPr/>
            </w:pPr>
            <w:r w:rsidDel="00000000" w:rsidR="00000000" w:rsidRPr="00000000">
              <w:rPr>
                <w:rtl w:val="0"/>
              </w:rPr>
              <w:t xml:space="preserve">Activities tend to focus on developing knowledge of HE; awareness of degree subjects; and building confidence. </w:t>
            </w:r>
          </w:p>
          <w:p w:rsidR="00000000" w:rsidDel="00000000" w:rsidP="00000000" w:rsidRDefault="00000000" w:rsidRPr="00000000" w14:paraId="00000029">
            <w:pPr>
              <w:widowControl w:val="0"/>
              <w:spacing w:after="200" w:line="276" w:lineRule="auto"/>
              <w:rPr/>
            </w:pPr>
            <w:r w:rsidDel="00000000" w:rsidR="00000000" w:rsidRPr="00000000">
              <w:rPr>
                <w:rtl w:val="0"/>
              </w:rPr>
              <w:t xml:space="preserve">Attainment is considered a by-product of raising aspirations.</w:t>
            </w:r>
          </w:p>
        </w:tc>
      </w:tr>
      <w:tr>
        <w:trPr>
          <w:cantSplit w:val="0"/>
          <w:tblHeader w:val="0"/>
        </w:trPr>
        <w:tc>
          <w:tcPr>
            <w:shd w:fill="e6eaf5"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rPr>
            </w:pPr>
            <w:r w:rsidDel="00000000" w:rsidR="00000000" w:rsidRPr="00000000">
              <w:rPr>
                <w:b w:val="1"/>
                <w:rtl w:val="0"/>
              </w:rPr>
              <w:t xml:space="preserve">Activities to develop study / soft skills</w:t>
            </w:r>
          </w:p>
        </w:tc>
        <w:tc>
          <w:tcPr>
            <w:shd w:fill="e6eaf5"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76" w:lineRule="auto"/>
              <w:rPr/>
            </w:pPr>
            <w:r w:rsidDel="00000000" w:rsidR="00000000" w:rsidRPr="00000000">
              <w:rPr>
                <w:rtl w:val="0"/>
              </w:rPr>
              <w:t xml:space="preserve">Practical activities or support - often delivered in a group format - designed to enhance attitudes and technique to improve learning.</w:t>
            </w:r>
          </w:p>
        </w:tc>
        <w:tc>
          <w:tcPr>
            <w:shd w:fill="e6eaf5"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76" w:lineRule="auto"/>
              <w:rPr/>
            </w:pPr>
            <w:r w:rsidDel="00000000" w:rsidR="00000000" w:rsidRPr="00000000">
              <w:rPr>
                <w:rtl w:val="0"/>
              </w:rPr>
              <w:t xml:space="preserve">Activities focus on improving study skills - such as reading, critical thinking, essay writing, metacognitive strategies - or attitudes to learning, to equip and motivate students to achieve higher attainment.</w:t>
            </w:r>
          </w:p>
        </w:tc>
      </w:tr>
      <w:tr>
        <w:trPr>
          <w:cantSplit w:val="0"/>
          <w:tblHeader w:val="0"/>
        </w:trPr>
        <w:tc>
          <w:tcPr>
            <w:shd w:fill="e6eaf5"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r w:rsidDel="00000000" w:rsidR="00000000" w:rsidRPr="00000000">
              <w:rPr>
                <w:b w:val="1"/>
                <w:rtl w:val="0"/>
              </w:rPr>
              <w:t xml:space="preserve">Teaching of the national curriculum</w:t>
            </w:r>
          </w:p>
        </w:tc>
        <w:tc>
          <w:tcPr>
            <w:shd w:fill="e6eaf5"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76" w:lineRule="auto"/>
              <w:rPr/>
            </w:pPr>
            <w:r w:rsidDel="00000000" w:rsidR="00000000" w:rsidRPr="00000000">
              <w:rPr>
                <w:rtl w:val="0"/>
              </w:rPr>
              <w:t xml:space="preserve">Academic tutoring, revision or booster classes, and project work. </w:t>
            </w:r>
          </w:p>
        </w:tc>
        <w:tc>
          <w:tcPr>
            <w:shd w:fill="e6eaf5"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76" w:lineRule="auto"/>
              <w:rPr/>
            </w:pPr>
            <w:r w:rsidDel="00000000" w:rsidR="00000000" w:rsidRPr="00000000">
              <w:rPr>
                <w:rtl w:val="0"/>
              </w:rPr>
              <w:t xml:space="preserve">The focus is on raising attainment through teaching of the national curriculum.</w:t>
            </w:r>
          </w:p>
        </w:tc>
      </w:tr>
      <w:tr>
        <w:trPr>
          <w:cantSplit w:val="0"/>
          <w:tblHeader w:val="0"/>
        </w:trPr>
        <w:tc>
          <w:tcPr>
            <w:shd w:fill="e6eaf5"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b w:val="1"/>
                <w:rtl w:val="0"/>
              </w:rPr>
              <w:t xml:space="preserve">School governance</w:t>
            </w:r>
          </w:p>
        </w:tc>
        <w:tc>
          <w:tcPr>
            <w:shd w:fill="e6eaf5"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76" w:lineRule="auto"/>
              <w:rPr/>
            </w:pPr>
            <w:r w:rsidDel="00000000" w:rsidR="00000000" w:rsidRPr="00000000">
              <w:rPr>
                <w:rtl w:val="0"/>
              </w:rPr>
              <w:t xml:space="preserve">Partnerships between schools and HE providers are typically formed through university sponsorship of schools, professional development opportunities for teachers, and placing university staff as governors of schools.</w:t>
            </w:r>
          </w:p>
        </w:tc>
        <w:tc>
          <w:tcPr>
            <w:shd w:fill="e6eaf5"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76" w:lineRule="auto"/>
              <w:rPr/>
            </w:pPr>
            <w:r w:rsidDel="00000000" w:rsidR="00000000" w:rsidRPr="00000000">
              <w:rPr>
                <w:rtl w:val="0"/>
              </w:rPr>
              <w:t xml:space="preserve">The mediating mechanisms between the intervention and attainment-raising as an outcome are not clear. The assumption is that interventions focus on enhancing institutional-level factors that contribute to improved attainment.</w:t>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color w:val="3b66bc"/>
          <w:sz w:val="24"/>
          <w:szCs w:val="24"/>
        </w:rPr>
      </w:pPr>
      <w:r w:rsidDel="00000000" w:rsidR="00000000" w:rsidRPr="00000000">
        <w:rPr>
          <w:b w:val="1"/>
          <w:color w:val="3b66bc"/>
          <w:sz w:val="24"/>
          <w:szCs w:val="24"/>
          <w:rtl w:val="0"/>
        </w:rPr>
        <w:t xml:space="preserve">Expectations for participating HEPs</w:t>
      </w:r>
    </w:p>
    <w:p w:rsidR="00000000" w:rsidDel="00000000" w:rsidP="00000000" w:rsidRDefault="00000000" w:rsidRPr="00000000" w14:paraId="00000036">
      <w:pPr>
        <w:numPr>
          <w:ilvl w:val="0"/>
          <w:numId w:val="5"/>
        </w:numPr>
        <w:ind w:left="720" w:hanging="360"/>
        <w:rPr>
          <w:u w:val="none"/>
        </w:rPr>
      </w:pPr>
      <w:r w:rsidDel="00000000" w:rsidR="00000000" w:rsidRPr="00000000">
        <w:rPr>
          <w:rtl w:val="0"/>
        </w:rPr>
        <w:t xml:space="preserve">TASO will select up to 6</w:t>
      </w:r>
      <w:r w:rsidDel="00000000" w:rsidR="00000000" w:rsidRPr="00000000">
        <w:rPr>
          <w:rtl w:val="0"/>
        </w:rPr>
        <w:t xml:space="preserve"> </w:t>
      </w:r>
      <w:r w:rsidDel="00000000" w:rsidR="00000000" w:rsidRPr="00000000">
        <w:rPr>
          <w:rtl w:val="0"/>
        </w:rPr>
        <w:t xml:space="preserve">proposals. </w:t>
      </w:r>
    </w:p>
    <w:p w:rsidR="00000000" w:rsidDel="00000000" w:rsidP="00000000" w:rsidRDefault="00000000" w:rsidRPr="00000000" w14:paraId="00000037">
      <w:pPr>
        <w:numPr>
          <w:ilvl w:val="0"/>
          <w:numId w:val="5"/>
        </w:numPr>
        <w:ind w:left="720" w:hanging="360"/>
        <w:rPr>
          <w:u w:val="none"/>
        </w:rPr>
      </w:pPr>
      <w:r w:rsidDel="00000000" w:rsidR="00000000" w:rsidRPr="00000000">
        <w:rPr>
          <w:rtl w:val="0"/>
        </w:rPr>
        <w:t xml:space="preserve">Selected proposals will be shared with our independent Panel of Evaluators </w:t>
      </w:r>
      <w:r w:rsidDel="00000000" w:rsidR="00000000" w:rsidRPr="00000000">
        <w:rPr>
          <w:rtl w:val="0"/>
        </w:rPr>
        <w:t xml:space="preserve">who will</w:t>
      </w:r>
      <w:r w:rsidDel="00000000" w:rsidR="00000000" w:rsidRPr="00000000">
        <w:rPr>
          <w:rtl w:val="0"/>
        </w:rPr>
        <w:t xml:space="preserve"> be invited to bid for the provision of evaluation support (funded by TASO).</w:t>
      </w:r>
    </w:p>
    <w:p w:rsidR="00000000" w:rsidDel="00000000" w:rsidP="00000000" w:rsidRDefault="00000000" w:rsidRPr="00000000" w14:paraId="00000038">
      <w:pPr>
        <w:numPr>
          <w:ilvl w:val="0"/>
          <w:numId w:val="5"/>
        </w:numPr>
        <w:ind w:left="720" w:hanging="360"/>
        <w:rPr>
          <w:u w:val="none"/>
        </w:rPr>
      </w:pPr>
      <w:r w:rsidDel="00000000" w:rsidR="00000000" w:rsidRPr="00000000">
        <w:rPr>
          <w:rtl w:val="0"/>
        </w:rPr>
        <w:t xml:space="preserve">Evaluation support from independent evaluators will take place over </w:t>
      </w:r>
      <w:r w:rsidDel="00000000" w:rsidR="00000000" w:rsidRPr="00000000">
        <w:rPr>
          <w:rtl w:val="0"/>
        </w:rPr>
        <w:t xml:space="preserve">a 3</w:t>
      </w:r>
      <w:r w:rsidDel="00000000" w:rsidR="00000000" w:rsidRPr="00000000">
        <w:rPr>
          <w:rtl w:val="0"/>
        </w:rPr>
        <w:t xml:space="preserve"> </w:t>
      </w:r>
      <w:r w:rsidDel="00000000" w:rsidR="00000000" w:rsidRPr="00000000">
        <w:rPr>
          <w:rtl w:val="0"/>
        </w:rPr>
        <w:t xml:space="preserve">month period from </w:t>
      </w:r>
      <w:r w:rsidDel="00000000" w:rsidR="00000000" w:rsidRPr="00000000">
        <w:rPr>
          <w:rtl w:val="0"/>
        </w:rPr>
        <w:t xml:space="preserve">September</w:t>
      </w:r>
      <w:r w:rsidDel="00000000" w:rsidR="00000000" w:rsidRPr="00000000">
        <w:rPr>
          <w:rtl w:val="0"/>
        </w:rPr>
        <w:t xml:space="preserve"> to November 2022).</w:t>
      </w:r>
    </w:p>
    <w:p w:rsidR="00000000" w:rsidDel="00000000" w:rsidP="00000000" w:rsidRDefault="00000000" w:rsidRPr="00000000" w14:paraId="00000039">
      <w:pPr>
        <w:numPr>
          <w:ilvl w:val="0"/>
          <w:numId w:val="5"/>
        </w:numPr>
        <w:ind w:left="720" w:hanging="360"/>
        <w:rPr>
          <w:u w:val="none"/>
        </w:rPr>
      </w:pPr>
      <w:r w:rsidDel="00000000" w:rsidR="00000000" w:rsidRPr="00000000">
        <w:rPr>
          <w:rtl w:val="0"/>
        </w:rPr>
        <w:t xml:space="preserve">Successful HEPs will work directly with TASO and a member of the Panel of Evaluators to develop the TOC. Table 2 details how </w:t>
      </w:r>
      <w:r w:rsidDel="00000000" w:rsidR="00000000" w:rsidRPr="00000000">
        <w:rPr>
          <w:rtl w:val="0"/>
        </w:rPr>
        <w:t xml:space="preserve">project activities and responsibilities will be split across the three organisations involved in the project. NB. We anticipate evaluation support from the independent evaluator to be in place from August 2022.</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after="100" w:before="60" w:line="264" w:lineRule="auto"/>
        <w:ind w:right="100"/>
        <w:rPr>
          <w:b w:val="1"/>
          <w:color w:val="0e101a"/>
          <w:sz w:val="24"/>
          <w:szCs w:val="24"/>
        </w:rPr>
      </w:pPr>
      <w:r w:rsidDel="00000000" w:rsidR="00000000" w:rsidRPr="00000000">
        <w:rPr>
          <w:b w:val="1"/>
          <w:color w:val="0e101a"/>
          <w:sz w:val="24"/>
          <w:szCs w:val="24"/>
          <w:rtl w:val="0"/>
        </w:rPr>
        <w:t xml:space="preserve">Table 2. Partner responsibilities</w:t>
      </w:r>
    </w:p>
    <w:tbl>
      <w:tblPr>
        <w:tblStyle w:val="Table2"/>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10"/>
        <w:gridCol w:w="1695"/>
        <w:gridCol w:w="1815"/>
        <w:gridCol w:w="1695"/>
        <w:tblGridChange w:id="0">
          <w:tblGrid>
            <w:gridCol w:w="3810"/>
            <w:gridCol w:w="1695"/>
            <w:gridCol w:w="1815"/>
            <w:gridCol w:w="1695"/>
          </w:tblGrid>
        </w:tblGridChange>
      </w:tblGrid>
      <w:tr>
        <w:trPr>
          <w:cantSplit w:val="0"/>
          <w:trHeight w:val="7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240" w:before="240" w:line="276" w:lineRule="auto"/>
              <w:rPr>
                <w:color w:val="0e101a"/>
              </w:rPr>
            </w:pPr>
            <w:r w:rsidDel="00000000" w:rsidR="00000000" w:rsidRPr="00000000">
              <w:rPr>
                <w:color w:val="0e101a"/>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240" w:before="240" w:line="276" w:lineRule="auto"/>
              <w:jc w:val="center"/>
              <w:rPr>
                <w:b w:val="1"/>
                <w:color w:val="0e101a"/>
              </w:rPr>
            </w:pPr>
            <w:r w:rsidDel="00000000" w:rsidR="00000000" w:rsidRPr="00000000">
              <w:rPr>
                <w:b w:val="1"/>
                <w:color w:val="0e101a"/>
                <w:rtl w:val="0"/>
              </w:rPr>
              <w:t xml:space="preserve">HEP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240" w:before="240" w:line="276" w:lineRule="auto"/>
              <w:jc w:val="center"/>
              <w:rPr>
                <w:b w:val="1"/>
                <w:color w:val="0e101a"/>
              </w:rPr>
            </w:pPr>
            <w:r w:rsidDel="00000000" w:rsidR="00000000" w:rsidRPr="00000000">
              <w:rPr>
                <w:b w:val="1"/>
                <w:color w:val="0e101a"/>
                <w:rtl w:val="0"/>
              </w:rPr>
              <w:t xml:space="preserve">Independent evaluator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240" w:before="240" w:line="276" w:lineRule="auto"/>
              <w:jc w:val="center"/>
              <w:rPr>
                <w:b w:val="1"/>
                <w:color w:val="0e101a"/>
              </w:rPr>
            </w:pPr>
            <w:r w:rsidDel="00000000" w:rsidR="00000000" w:rsidRPr="00000000">
              <w:rPr>
                <w:b w:val="1"/>
                <w:color w:val="0e101a"/>
                <w:rtl w:val="0"/>
              </w:rPr>
              <w:t xml:space="preserve">TASO</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276" w:lineRule="auto"/>
              <w:rPr>
                <w:color w:val="0e101a"/>
              </w:rPr>
            </w:pPr>
            <w:r w:rsidDel="00000000" w:rsidR="00000000" w:rsidRPr="00000000">
              <w:rPr>
                <w:color w:val="0e101a"/>
                <w:rtl w:val="0"/>
              </w:rPr>
              <w:t xml:space="preserve">Contract management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240" w:before="240" w:line="276" w:lineRule="auto"/>
              <w:jc w:val="center"/>
              <w:rPr>
                <w:color w:val="0e101a"/>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240" w:before="240" w:line="276" w:lineRule="auto"/>
              <w:jc w:val="center"/>
              <w:rPr>
                <w:color w:val="0e101a"/>
              </w:rPr>
            </w:pPr>
            <w:r w:rsidDel="00000000" w:rsidR="00000000" w:rsidRPr="00000000">
              <w:rPr>
                <w:color w:val="0e101a"/>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240" w:before="240" w:line="276" w:lineRule="auto"/>
              <w:jc w:val="center"/>
              <w:rPr>
                <w:color w:val="0e101a"/>
              </w:rPr>
            </w:pPr>
            <w:r w:rsidDel="00000000" w:rsidR="00000000" w:rsidRPr="00000000">
              <w:rPr>
                <w:color w:val="0e101a"/>
                <w:rtl w:val="0"/>
              </w:rPr>
              <w:t xml:space="preserve">Lead</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240" w:before="240" w:line="276" w:lineRule="auto"/>
              <w:rPr>
                <w:color w:val="0e101a"/>
              </w:rPr>
            </w:pPr>
            <w:r w:rsidDel="00000000" w:rsidR="00000000" w:rsidRPr="00000000">
              <w:rPr>
                <w:color w:val="0e101a"/>
                <w:rtl w:val="0"/>
              </w:rPr>
              <w:t xml:space="preserve">Project management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240" w:before="240" w:line="276" w:lineRule="auto"/>
              <w:jc w:val="center"/>
              <w:rPr>
                <w:color w:val="0e101a"/>
              </w:rPr>
            </w:pPr>
            <w:r w:rsidDel="00000000" w:rsidR="00000000" w:rsidRPr="00000000">
              <w:rPr>
                <w:color w:val="0e101a"/>
                <w:rtl w:val="0"/>
              </w:rPr>
              <w:t xml:space="preserve">Lead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240" w:before="240" w:line="276" w:lineRule="auto"/>
              <w:jc w:val="center"/>
              <w:rPr>
                <w:color w:val="0e101a"/>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240" w:before="240" w:line="276" w:lineRule="auto"/>
              <w:jc w:val="center"/>
              <w:rPr>
                <w:color w:val="0e101a"/>
              </w:rPr>
            </w:pPr>
            <w:r w:rsidDel="00000000" w:rsidR="00000000" w:rsidRPr="00000000">
              <w:rPr>
                <w:color w:val="0e101a"/>
                <w:rtl w:val="0"/>
              </w:rPr>
              <w:t xml:space="preserve">Advise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240" w:before="240" w:line="276" w:lineRule="auto"/>
              <w:rPr>
                <w:color w:val="0e101a"/>
              </w:rPr>
            </w:pPr>
            <w:r w:rsidDel="00000000" w:rsidR="00000000" w:rsidRPr="00000000">
              <w:rPr>
                <w:color w:val="0e101a"/>
                <w:rtl w:val="0"/>
              </w:rPr>
              <w:t xml:space="preserve">Expert, technical advice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240" w:before="240" w:line="276" w:lineRule="auto"/>
              <w:jc w:val="center"/>
              <w:rPr>
                <w:color w:val="0e101a"/>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after="240" w:before="240" w:line="276" w:lineRule="auto"/>
              <w:jc w:val="center"/>
              <w:rPr>
                <w:color w:val="0e101a"/>
              </w:rPr>
            </w:pPr>
            <w:r w:rsidDel="00000000" w:rsidR="00000000" w:rsidRPr="00000000">
              <w:rPr>
                <w:color w:val="0e101a"/>
                <w:rtl w:val="0"/>
              </w:rPr>
              <w:t xml:space="preserve">Lead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240" w:before="240" w:line="276" w:lineRule="auto"/>
              <w:jc w:val="center"/>
              <w:rPr>
                <w:color w:val="0e101a"/>
              </w:rPr>
            </w:pPr>
            <w:r w:rsidDel="00000000" w:rsidR="00000000" w:rsidRPr="00000000">
              <w:rPr>
                <w:rtl w:val="0"/>
              </w:rPr>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240" w:before="240" w:line="276" w:lineRule="auto"/>
              <w:rPr>
                <w:color w:val="0e101a"/>
              </w:rPr>
            </w:pPr>
            <w:r w:rsidDel="00000000" w:rsidR="00000000" w:rsidRPr="00000000">
              <w:rPr>
                <w:color w:val="0e101a"/>
                <w:rtl w:val="0"/>
              </w:rPr>
              <w:t xml:space="preserve">Conduct TOC workshops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240" w:before="240" w:line="276" w:lineRule="auto"/>
              <w:jc w:val="center"/>
              <w:rPr>
                <w:color w:val="0e101a"/>
              </w:rPr>
            </w:pPr>
            <w:r w:rsidDel="00000000" w:rsidR="00000000" w:rsidRPr="00000000">
              <w:rPr>
                <w:color w:val="0e101a"/>
                <w:rtl w:val="0"/>
              </w:rPr>
              <w:t xml:space="preserve">Lead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after="240" w:before="240" w:line="276" w:lineRule="auto"/>
              <w:jc w:val="center"/>
              <w:rPr>
                <w:color w:val="0e101a"/>
              </w:rPr>
            </w:pPr>
            <w:r w:rsidDel="00000000" w:rsidR="00000000" w:rsidRPr="00000000">
              <w:rPr>
                <w:color w:val="0e101a"/>
                <w:rtl w:val="0"/>
              </w:rPr>
              <w:t xml:space="preserve">Advise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240" w:before="240" w:line="276" w:lineRule="auto"/>
              <w:jc w:val="center"/>
              <w:rPr>
                <w:color w:val="0e101a"/>
              </w:rPr>
            </w:pPr>
            <w:r w:rsidDel="00000000" w:rsidR="00000000" w:rsidRPr="00000000">
              <w:rPr>
                <w:rtl w:val="0"/>
              </w:rPr>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240" w:before="240" w:line="276" w:lineRule="auto"/>
              <w:rPr>
                <w:color w:val="0e101a"/>
              </w:rPr>
            </w:pPr>
            <w:r w:rsidDel="00000000" w:rsidR="00000000" w:rsidRPr="00000000">
              <w:rPr>
                <w:color w:val="0e101a"/>
                <w:rtl w:val="0"/>
              </w:rPr>
              <w:t xml:space="preserve">Review and QA TOC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240" w:before="240" w:line="276" w:lineRule="auto"/>
              <w:jc w:val="center"/>
              <w:rPr>
                <w:color w:val="0e101a"/>
              </w:rPr>
            </w:pPr>
            <w:r w:rsidDel="00000000" w:rsidR="00000000" w:rsidRPr="00000000">
              <w:rPr>
                <w:color w:val="0e101a"/>
                <w:rtl w:val="0"/>
              </w:rPr>
              <w:t xml:space="preserve">Advise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240" w:before="240" w:line="276" w:lineRule="auto"/>
              <w:jc w:val="center"/>
              <w:rPr>
                <w:color w:val="0e101a"/>
              </w:rPr>
            </w:pPr>
            <w:r w:rsidDel="00000000" w:rsidR="00000000" w:rsidRPr="00000000">
              <w:rPr>
                <w:color w:val="0e101a"/>
                <w:rtl w:val="0"/>
              </w:rPr>
              <w:t xml:space="preserve">Lead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240" w:before="240" w:line="276" w:lineRule="auto"/>
              <w:jc w:val="center"/>
              <w:rPr>
                <w:color w:val="0e101a"/>
              </w:rPr>
            </w:pPr>
            <w:r w:rsidDel="00000000" w:rsidR="00000000" w:rsidRPr="00000000">
              <w:rPr>
                <w:color w:val="0e101a"/>
                <w:rtl w:val="0"/>
              </w:rPr>
              <w:t xml:space="preserve"> Advise </w:t>
            </w:r>
          </w:p>
        </w:tc>
      </w:tr>
    </w:tbl>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color w:val="3b66bc"/>
          <w:sz w:val="24"/>
          <w:szCs w:val="24"/>
          <w:rtl w:val="0"/>
        </w:rPr>
        <w:t xml:space="preserve">Project timeline</w:t>
      </w:r>
      <w:r w:rsidDel="00000000" w:rsidR="00000000" w:rsidRPr="00000000">
        <w:rPr>
          <w:rtl w:val="0"/>
        </w:rPr>
      </w:r>
    </w:p>
    <w:p w:rsidR="00000000" w:rsidDel="00000000" w:rsidP="00000000" w:rsidRDefault="00000000" w:rsidRPr="00000000" w14:paraId="00000057">
      <w:pPr>
        <w:rPr>
          <w:b w:val="1"/>
          <w:sz w:val="20"/>
          <w:szCs w:val="20"/>
        </w:rPr>
      </w:pPr>
      <w:r w:rsidDel="00000000" w:rsidR="00000000" w:rsidRPr="00000000">
        <w:rPr>
          <w:rtl w:val="0"/>
        </w:rPr>
        <w:t xml:space="preserve">Using the expression of interest form below, please submit your examples of interventions b</w:t>
      </w:r>
      <w:r w:rsidDel="00000000" w:rsidR="00000000" w:rsidRPr="00000000">
        <w:rPr>
          <w:rtl w:val="0"/>
        </w:rPr>
        <w:t xml:space="preserve">y</w:t>
      </w:r>
      <w:r w:rsidDel="00000000" w:rsidR="00000000" w:rsidRPr="00000000">
        <w:rPr>
          <w:b w:val="1"/>
          <w:rtl w:val="0"/>
        </w:rPr>
        <w:t xml:space="preserve"> midday on Friday 15 July 2022</w:t>
      </w:r>
      <w:r w:rsidDel="00000000" w:rsidR="00000000" w:rsidRPr="00000000">
        <w:rPr>
          <w:rtl w:val="0"/>
        </w:rPr>
        <w:t xml:space="preserve">.</w:t>
      </w:r>
      <w:r w:rsidDel="00000000" w:rsidR="00000000" w:rsidRPr="00000000">
        <w:rPr>
          <w:rtl w:val="0"/>
        </w:rPr>
        <w:t xml:space="preserve"> If you have any questions regarding the open call, please get in touch and we can arrange an informal conversation - research@taso.org.uk. You will be informed of the outcome of your submission in the </w:t>
      </w:r>
      <w:r w:rsidDel="00000000" w:rsidR="00000000" w:rsidRPr="00000000">
        <w:rPr>
          <w:b w:val="1"/>
          <w:rtl w:val="0"/>
        </w:rPr>
        <w:t xml:space="preserve">w/c 25 July 2022</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spacing w:after="100" w:before="60" w:lineRule="auto"/>
        <w:rPr>
          <w:b w:val="1"/>
          <w:color w:val="3b66bc"/>
          <w:sz w:val="24"/>
          <w:szCs w:val="24"/>
        </w:rPr>
      </w:pPr>
      <w:r w:rsidDel="00000000" w:rsidR="00000000" w:rsidRPr="00000000">
        <w:rPr>
          <w:b w:val="1"/>
          <w:color w:val="3b66bc"/>
          <w:sz w:val="24"/>
          <w:szCs w:val="24"/>
          <w:rtl w:val="0"/>
        </w:rPr>
        <w:t xml:space="preserve">Assessment of applications</w:t>
      </w:r>
    </w:p>
    <w:p w:rsidR="00000000" w:rsidDel="00000000" w:rsidP="00000000" w:rsidRDefault="00000000" w:rsidRPr="00000000" w14:paraId="0000005A">
      <w:pPr>
        <w:rPr>
          <w:color w:val="000000"/>
        </w:rPr>
      </w:pPr>
      <w:r w:rsidDel="00000000" w:rsidR="00000000" w:rsidRPr="00000000">
        <w:rPr>
          <w:color w:val="000000"/>
          <w:rtl w:val="0"/>
        </w:rPr>
        <w:t xml:space="preserve">Your application will be assessed by the TASO Research and Evaluation team. The strength of applications will be assessed on the below criteria (please note the </w:t>
      </w:r>
      <w:r w:rsidDel="00000000" w:rsidR="00000000" w:rsidRPr="00000000">
        <w:rPr>
          <w:color w:val="000000"/>
          <w:rtl w:val="0"/>
        </w:rPr>
        <w:t xml:space="preserve">weighting </w:t>
      </w:r>
      <w:r w:rsidDel="00000000" w:rsidR="00000000" w:rsidRPr="00000000">
        <w:rPr>
          <w:color w:val="000000"/>
          <w:rtl w:val="0"/>
        </w:rPr>
        <w:t xml:space="preserve">of each section):</w:t>
      </w:r>
    </w:p>
    <w:p w:rsidR="00000000" w:rsidDel="00000000" w:rsidP="00000000" w:rsidRDefault="00000000" w:rsidRPr="00000000" w14:paraId="0000005B">
      <w:pPr>
        <w:numPr>
          <w:ilvl w:val="0"/>
          <w:numId w:val="6"/>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rtl w:val="0"/>
        </w:rPr>
        <w:t xml:space="preserve">Intervention/activity </w:t>
      </w:r>
      <w:r w:rsidDel="00000000" w:rsidR="00000000" w:rsidRPr="00000000">
        <w:rPr>
          <w:i w:val="1"/>
          <w:color w:val="000000"/>
          <w:rtl w:val="0"/>
        </w:rPr>
        <w:t xml:space="preserve">(40%)</w:t>
      </w:r>
      <w:r w:rsidDel="00000000" w:rsidR="00000000" w:rsidRPr="00000000">
        <w:rPr>
          <w:rtl w:val="0"/>
        </w:rPr>
      </w:r>
    </w:p>
    <w:p w:rsidR="00000000" w:rsidDel="00000000" w:rsidP="00000000" w:rsidRDefault="00000000" w:rsidRPr="00000000" w14:paraId="0000005C">
      <w:pPr>
        <w:numPr>
          <w:ilvl w:val="1"/>
          <w:numId w:val="6"/>
        </w:numPr>
        <w:pBdr>
          <w:top w:space="0" w:sz="0" w:val="nil"/>
          <w:left w:space="0" w:sz="0" w:val="nil"/>
          <w:bottom w:space="0" w:sz="0" w:val="nil"/>
          <w:right w:space="0" w:sz="0" w:val="nil"/>
          <w:between w:space="0" w:sz="0" w:val="nil"/>
        </w:pBdr>
        <w:ind w:left="1440" w:hanging="360"/>
        <w:rPr>
          <w:color w:val="000000"/>
        </w:rPr>
      </w:pPr>
      <w:r w:rsidDel="00000000" w:rsidR="00000000" w:rsidRPr="00000000">
        <w:rPr>
          <w:rtl w:val="0"/>
        </w:rPr>
        <w:t xml:space="preserve">How the intervention maps onto the attainment-raising typology.</w:t>
      </w:r>
    </w:p>
    <w:p w:rsidR="00000000" w:rsidDel="00000000" w:rsidP="00000000" w:rsidRDefault="00000000" w:rsidRPr="00000000" w14:paraId="0000005D">
      <w:pPr>
        <w:numPr>
          <w:ilvl w:val="1"/>
          <w:numId w:val="6"/>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Background information of how the intervention has been designed/delivered previously.</w:t>
      </w:r>
    </w:p>
    <w:p w:rsidR="00000000" w:rsidDel="00000000" w:rsidP="00000000" w:rsidRDefault="00000000" w:rsidRPr="00000000" w14:paraId="0000005E">
      <w:pPr>
        <w:numPr>
          <w:ilvl w:val="1"/>
          <w:numId w:val="6"/>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How the intervention aims to reduce equality gaps for disadvantaged or underrepresented groups. </w:t>
      </w:r>
    </w:p>
    <w:p w:rsidR="00000000" w:rsidDel="00000000" w:rsidP="00000000" w:rsidRDefault="00000000" w:rsidRPr="00000000" w14:paraId="0000005F">
      <w:pPr>
        <w:numPr>
          <w:ilvl w:val="0"/>
          <w:numId w:val="6"/>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rtl w:val="0"/>
        </w:rPr>
        <w:t xml:space="preserve">Relevance/impact of the project </w:t>
      </w:r>
      <w:r w:rsidDel="00000000" w:rsidR="00000000" w:rsidRPr="00000000">
        <w:rPr>
          <w:i w:val="1"/>
          <w:color w:val="000000"/>
          <w:rtl w:val="0"/>
        </w:rPr>
        <w:t xml:space="preserve">(20%</w:t>
      </w:r>
      <w:r w:rsidDel="00000000" w:rsidR="00000000" w:rsidRPr="00000000">
        <w:rPr>
          <w:i w:val="1"/>
          <w:color w:val="000000"/>
          <w:rtl w:val="0"/>
        </w:rPr>
        <w:t xml:space="preserve">)</w:t>
      </w:r>
    </w:p>
    <w:p w:rsidR="00000000" w:rsidDel="00000000" w:rsidP="00000000" w:rsidRDefault="00000000" w:rsidRPr="00000000" w14:paraId="00000060">
      <w:pPr>
        <w:numPr>
          <w:ilvl w:val="1"/>
          <w:numId w:val="6"/>
        </w:numPr>
        <w:ind w:left="1440" w:hanging="360"/>
      </w:pPr>
      <w:r w:rsidDel="00000000" w:rsidR="00000000" w:rsidRPr="00000000">
        <w:rPr>
          <w:rtl w:val="0"/>
        </w:rPr>
        <w:t xml:space="preserve">Relevance of the intervention that the TOC would be developed for. </w:t>
      </w:r>
    </w:p>
    <w:p w:rsidR="00000000" w:rsidDel="00000000" w:rsidP="00000000" w:rsidRDefault="00000000" w:rsidRPr="00000000" w14:paraId="00000061">
      <w:pPr>
        <w:numPr>
          <w:ilvl w:val="1"/>
          <w:numId w:val="6"/>
        </w:numPr>
        <w:ind w:left="1440" w:hanging="360"/>
      </w:pPr>
      <w:r w:rsidDel="00000000" w:rsidR="00000000" w:rsidRPr="00000000">
        <w:rPr>
          <w:rtl w:val="0"/>
        </w:rPr>
        <w:t xml:space="preserve">The HEP’s plan to use and implement the TOC beyond the lifecycle of this </w:t>
      </w:r>
      <w:r w:rsidDel="00000000" w:rsidR="00000000" w:rsidRPr="00000000">
        <w:rPr>
          <w:rtl w:val="0"/>
        </w:rPr>
        <w:t xml:space="preserve">project</w:t>
      </w:r>
      <w:r w:rsidDel="00000000" w:rsidR="00000000" w:rsidRPr="00000000">
        <w:rPr>
          <w:rtl w:val="0"/>
        </w:rPr>
        <w:t xml:space="preserve">.</w:t>
      </w:r>
    </w:p>
    <w:p w:rsidR="00000000" w:rsidDel="00000000" w:rsidP="00000000" w:rsidRDefault="00000000" w:rsidRPr="00000000" w14:paraId="00000062">
      <w:pPr>
        <w:numPr>
          <w:ilvl w:val="0"/>
          <w:numId w:val="6"/>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Team (</w:t>
      </w:r>
      <w:r w:rsidDel="00000000" w:rsidR="00000000" w:rsidRPr="00000000">
        <w:rPr>
          <w:i w:val="1"/>
          <w:rtl w:val="0"/>
        </w:rPr>
        <w:t xml:space="preserve">40</w:t>
      </w:r>
      <w:r w:rsidDel="00000000" w:rsidR="00000000" w:rsidRPr="00000000">
        <w:rPr>
          <w:rtl w:val="0"/>
        </w:rPr>
        <w:t xml:space="preserve">%)</w:t>
      </w:r>
    </w:p>
    <w:p w:rsidR="00000000" w:rsidDel="00000000" w:rsidP="00000000" w:rsidRDefault="00000000" w:rsidRPr="00000000" w14:paraId="00000063">
      <w:pPr>
        <w:numPr>
          <w:ilvl w:val="1"/>
          <w:numId w:val="6"/>
        </w:numPr>
        <w:ind w:left="1440" w:hanging="360"/>
      </w:pPr>
      <w:r w:rsidDel="00000000" w:rsidR="00000000" w:rsidRPr="00000000">
        <w:rPr>
          <w:rtl w:val="0"/>
        </w:rPr>
        <w:t xml:space="preserve">The relevant experience of the project team.</w:t>
      </w:r>
    </w:p>
    <w:p w:rsidR="00000000" w:rsidDel="00000000" w:rsidP="00000000" w:rsidRDefault="00000000" w:rsidRPr="00000000" w14:paraId="00000064">
      <w:pPr>
        <w:numPr>
          <w:ilvl w:val="1"/>
          <w:numId w:val="6"/>
        </w:numPr>
        <w:ind w:left="1440" w:hanging="360"/>
      </w:pPr>
      <w:r w:rsidDel="00000000" w:rsidR="00000000" w:rsidRPr="00000000">
        <w:rPr>
          <w:rtl w:val="0"/>
        </w:rPr>
        <w:t xml:space="preserve">The team’s </w:t>
      </w:r>
      <w:r w:rsidDel="00000000" w:rsidR="00000000" w:rsidRPr="00000000">
        <w:rPr>
          <w:rtl w:val="0"/>
        </w:rPr>
        <w:t xml:space="preserve">commitment</w:t>
      </w:r>
      <w:r w:rsidDel="00000000" w:rsidR="00000000" w:rsidRPr="00000000">
        <w:rPr>
          <w:rtl w:val="0"/>
        </w:rPr>
        <w:t xml:space="preserve"> to evidence-informed practice. </w:t>
      </w:r>
    </w:p>
    <w:p w:rsidR="00000000" w:rsidDel="00000000" w:rsidP="00000000" w:rsidRDefault="00000000" w:rsidRPr="00000000" w14:paraId="00000065">
      <w:pPr>
        <w:numPr>
          <w:ilvl w:val="1"/>
          <w:numId w:val="6"/>
        </w:numPr>
        <w:ind w:left="1440" w:hanging="360"/>
      </w:pPr>
      <w:r w:rsidDel="00000000" w:rsidR="00000000" w:rsidRPr="00000000">
        <w:rPr>
          <w:rtl w:val="0"/>
        </w:rPr>
        <w:t xml:space="preserve">The team’s approach to transparency and accountability.</w:t>
      </w:r>
    </w:p>
    <w:p w:rsidR="00000000" w:rsidDel="00000000" w:rsidP="00000000" w:rsidRDefault="00000000" w:rsidRPr="00000000" w14:paraId="00000066">
      <w:pPr>
        <w:pBdr>
          <w:top w:space="0" w:sz="0" w:val="nil"/>
          <w:left w:space="0" w:sz="0" w:val="nil"/>
          <w:bottom w:space="0" w:sz="0" w:val="nil"/>
          <w:right w:space="0" w:sz="0" w:val="nil"/>
          <w:between w:space="0" w:sz="0" w:val="nil"/>
        </w:pBdr>
        <w:rPr/>
      </w:pPr>
      <w:r w:rsidDel="00000000" w:rsidR="00000000" w:rsidRPr="00000000">
        <w:br w:type="page"/>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Rule="auto"/>
        <w:ind w:left="66" w:firstLine="0"/>
        <w:rPr>
          <w:b w:val="1"/>
          <w:color w:val="3b66bc"/>
          <w:sz w:val="36"/>
          <w:szCs w:val="36"/>
        </w:rPr>
      </w:pPr>
      <w:r w:rsidDel="00000000" w:rsidR="00000000" w:rsidRPr="00000000">
        <w:rPr>
          <w:b w:val="1"/>
          <w:color w:val="3b66bc"/>
          <w:sz w:val="36"/>
          <w:szCs w:val="36"/>
          <w:rtl w:val="0"/>
        </w:rPr>
        <w:t xml:space="preserve">Expression of Interest Form</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60" w:lineRule="auto"/>
        <w:ind w:left="66" w:firstLine="0"/>
        <w:rPr>
          <w:color w:val="000000"/>
        </w:rPr>
      </w:pPr>
      <w:r w:rsidDel="00000000" w:rsidR="00000000" w:rsidRPr="00000000">
        <w:rPr>
          <w:color w:val="000000"/>
          <w:rtl w:val="0"/>
        </w:rPr>
        <w:t xml:space="preserve">Please note that hyperlinks to web-based information will not be accepted, and, if included, will not be evaluated.</w:t>
      </w:r>
    </w:p>
    <w:tbl>
      <w:tblPr>
        <w:tblStyle w:val="Table3"/>
        <w:tblW w:w="935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3"/>
        <w:tblGridChange w:id="0">
          <w:tblGrid>
            <w:gridCol w:w="2547"/>
            <w:gridCol w:w="680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6B">
            <w:pPr>
              <w:keepNext w:val="1"/>
              <w:tabs>
                <w:tab w:val="left" w:pos="1575"/>
              </w:tabs>
              <w:spacing w:after="100" w:before="60" w:line="264" w:lineRule="auto"/>
              <w:rPr>
                <w:b w:val="1"/>
                <w:color w:val="3b66bc"/>
                <w:sz w:val="24"/>
                <w:szCs w:val="24"/>
              </w:rPr>
            </w:pPr>
            <w:r w:rsidDel="00000000" w:rsidR="00000000" w:rsidRPr="00000000">
              <w:rPr>
                <w:b w:val="1"/>
                <w:color w:val="3b66bc"/>
                <w:sz w:val="24"/>
                <w:szCs w:val="24"/>
                <w:rtl w:val="0"/>
              </w:rPr>
              <w:t xml:space="preserve">Data Protection Notice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keepNext w:val="1"/>
              <w:spacing w:before="60" w:line="264" w:lineRule="auto"/>
              <w:ind w:right="100"/>
              <w:jc w:val="both"/>
              <w:rPr>
                <w:color w:val="0e101a"/>
              </w:rPr>
            </w:pPr>
            <w:r w:rsidDel="00000000" w:rsidR="00000000" w:rsidRPr="00000000">
              <w:rPr>
                <w:color w:val="0e101a"/>
                <w:rtl w:val="0"/>
              </w:rPr>
              <w:t xml:space="preserve">Please read the </w:t>
            </w:r>
            <w:hyperlink r:id="rId12">
              <w:r w:rsidDel="00000000" w:rsidR="00000000" w:rsidRPr="00000000">
                <w:rPr>
                  <w:color w:val="1155cc"/>
                  <w:u w:val="single"/>
                  <w:rtl w:val="0"/>
                </w:rPr>
                <w:t xml:space="preserve">Data Protection Notice</w:t>
              </w:r>
            </w:hyperlink>
            <w:r w:rsidDel="00000000" w:rsidR="00000000" w:rsidRPr="00000000">
              <w:rPr>
                <w:color w:val="0e101a"/>
                <w:rtl w:val="0"/>
              </w:rPr>
              <w:t xml:space="preserve"> for this project before submitting your evidence.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6D">
            <w:pPr>
              <w:keepNext w:val="1"/>
              <w:tabs>
                <w:tab w:val="left" w:pos="1575"/>
              </w:tabs>
              <w:spacing w:after="100" w:before="60" w:line="264" w:lineRule="auto"/>
              <w:rPr>
                <w:b w:val="1"/>
                <w:color w:val="3b66bc"/>
                <w:sz w:val="24"/>
                <w:szCs w:val="24"/>
              </w:rPr>
            </w:pPr>
            <w:r w:rsidDel="00000000" w:rsidR="00000000" w:rsidRPr="00000000">
              <w:rPr>
                <w:b w:val="1"/>
                <w:color w:val="3b66bc"/>
                <w:sz w:val="24"/>
                <w:szCs w:val="24"/>
                <w:rtl w:val="0"/>
              </w:rPr>
              <w:t xml:space="preserve">Data Protection Notice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keepNext w:val="1"/>
              <w:spacing w:before="60" w:line="264" w:lineRule="auto"/>
              <w:ind w:right="100"/>
              <w:jc w:val="both"/>
              <w:rPr>
                <w:color w:val="0e101a"/>
              </w:rPr>
            </w:pPr>
            <w:r w:rsidDel="00000000" w:rsidR="00000000" w:rsidRPr="00000000">
              <w:rPr>
                <w:color w:val="0e101a"/>
                <w:rtl w:val="0"/>
              </w:rPr>
              <w:t xml:space="preserve">Do you confirm that you have read and understood the</w:t>
            </w:r>
            <w:hyperlink r:id="rId13">
              <w:r w:rsidDel="00000000" w:rsidR="00000000" w:rsidRPr="00000000">
                <w:rPr>
                  <w:color w:val="1155cc"/>
                  <w:u w:val="single"/>
                  <w:rtl w:val="0"/>
                </w:rPr>
                <w:t xml:space="preserve"> Data Protection Notice</w:t>
              </w:r>
            </w:hyperlink>
            <w:r w:rsidDel="00000000" w:rsidR="00000000" w:rsidRPr="00000000">
              <w:rPr>
                <w:color w:val="0e101a"/>
                <w:rtl w:val="0"/>
              </w:rPr>
              <w:t xml:space="preserve">?</w:t>
            </w:r>
          </w:p>
          <w:p w:rsidR="00000000" w:rsidDel="00000000" w:rsidP="00000000" w:rsidRDefault="00000000" w:rsidRPr="00000000" w14:paraId="0000006F">
            <w:pPr>
              <w:keepNext w:val="1"/>
              <w:spacing w:before="60" w:line="264" w:lineRule="auto"/>
              <w:ind w:right="100"/>
              <w:jc w:val="both"/>
              <w:rPr>
                <w:color w:val="0e101a"/>
              </w:rPr>
            </w:pPr>
            <w:r w:rsidDel="00000000" w:rsidR="00000000" w:rsidRPr="00000000">
              <w:rPr>
                <w:color w:val="0e101a"/>
                <w:rtl w:val="0"/>
              </w:rPr>
              <w:t xml:space="preserve">Yes</w:t>
            </w:r>
          </w:p>
          <w:p w:rsidR="00000000" w:rsidDel="00000000" w:rsidP="00000000" w:rsidRDefault="00000000" w:rsidRPr="00000000" w14:paraId="00000070">
            <w:pPr>
              <w:keepNext w:val="1"/>
              <w:spacing w:before="60" w:line="264" w:lineRule="auto"/>
              <w:ind w:right="100"/>
              <w:jc w:val="both"/>
              <w:rPr>
                <w:color w:val="0e101a"/>
              </w:rPr>
            </w:pPr>
            <w:r w:rsidDel="00000000" w:rsidR="00000000" w:rsidRPr="00000000">
              <w:rPr>
                <w:color w:val="0e101a"/>
                <w:rtl w:val="0"/>
              </w:rPr>
              <w:t xml:space="preserve">No</w:t>
            </w:r>
          </w:p>
        </w:tc>
      </w:tr>
      <w:tr>
        <w:trPr>
          <w:cantSplit w:val="0"/>
          <w:tblHeader w:val="0"/>
        </w:trPr>
        <w:tc>
          <w:tcPr>
            <w:shd w:fill="f2f2f2" w:val="clear"/>
          </w:tcPr>
          <w:p w:rsidR="00000000" w:rsidDel="00000000" w:rsidP="00000000" w:rsidRDefault="00000000" w:rsidRPr="00000000" w14:paraId="00000071">
            <w:pPr>
              <w:keepNext w:val="1"/>
              <w:tabs>
                <w:tab w:val="left" w:pos="1575"/>
              </w:tabs>
              <w:spacing w:after="100" w:before="60" w:line="264" w:lineRule="auto"/>
              <w:rPr>
                <w:b w:val="1"/>
                <w:color w:val="3b66bc"/>
                <w:sz w:val="24"/>
                <w:szCs w:val="24"/>
              </w:rPr>
            </w:pPr>
            <w:r w:rsidDel="00000000" w:rsidR="00000000" w:rsidRPr="00000000">
              <w:rPr>
                <w:b w:val="1"/>
                <w:color w:val="3b66bc"/>
                <w:sz w:val="24"/>
                <w:szCs w:val="24"/>
                <w:rtl w:val="0"/>
              </w:rPr>
              <w:t xml:space="preserve">Lead organisation</w:t>
            </w:r>
          </w:p>
        </w:tc>
        <w:tc>
          <w:tcPr/>
          <w:p w:rsidR="00000000" w:rsidDel="00000000" w:rsidP="00000000" w:rsidRDefault="00000000" w:rsidRPr="00000000" w14:paraId="00000072">
            <w:pPr>
              <w:keepNext w:val="1"/>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3">
            <w:pPr>
              <w:tabs>
                <w:tab w:val="left" w:pos="1575"/>
              </w:tabs>
              <w:spacing w:after="100" w:before="60" w:line="264" w:lineRule="auto"/>
              <w:rPr>
                <w:b w:val="1"/>
                <w:color w:val="3b66bc"/>
                <w:sz w:val="24"/>
                <w:szCs w:val="24"/>
              </w:rPr>
            </w:pPr>
            <w:r w:rsidDel="00000000" w:rsidR="00000000" w:rsidRPr="00000000">
              <w:rPr>
                <w:b w:val="1"/>
                <w:color w:val="3b66bc"/>
                <w:sz w:val="24"/>
                <w:szCs w:val="24"/>
                <w:rtl w:val="0"/>
              </w:rPr>
              <w:t xml:space="preserve">Contact name</w:t>
            </w:r>
          </w:p>
        </w:tc>
        <w:tc>
          <w:tcPr/>
          <w:p w:rsidR="00000000" w:rsidDel="00000000" w:rsidP="00000000" w:rsidRDefault="00000000" w:rsidRPr="00000000" w14:paraId="00000074">
            <w:pPr>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5">
            <w:pPr>
              <w:tabs>
                <w:tab w:val="left" w:pos="1575"/>
              </w:tabs>
              <w:spacing w:after="100" w:before="60" w:line="264" w:lineRule="auto"/>
              <w:rPr>
                <w:b w:val="1"/>
                <w:color w:val="3b66bc"/>
                <w:sz w:val="24"/>
                <w:szCs w:val="24"/>
              </w:rPr>
            </w:pPr>
            <w:bookmarkStart w:colFirst="0" w:colLast="0" w:name="_heading=h.30j0zll" w:id="3"/>
            <w:bookmarkEnd w:id="3"/>
            <w:r w:rsidDel="00000000" w:rsidR="00000000" w:rsidRPr="00000000">
              <w:rPr>
                <w:b w:val="1"/>
                <w:color w:val="3b66bc"/>
                <w:sz w:val="24"/>
                <w:szCs w:val="24"/>
                <w:rtl w:val="0"/>
              </w:rPr>
              <w:t xml:space="preserve">Contact email</w:t>
            </w:r>
          </w:p>
        </w:tc>
        <w:tc>
          <w:tcPr/>
          <w:p w:rsidR="00000000" w:rsidDel="00000000" w:rsidP="00000000" w:rsidRDefault="00000000" w:rsidRPr="00000000" w14:paraId="00000076">
            <w:pPr>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7">
            <w:pPr>
              <w:spacing w:after="100" w:before="60" w:line="264" w:lineRule="auto"/>
              <w:rPr>
                <w:b w:val="1"/>
                <w:color w:val="3b66bc"/>
                <w:sz w:val="24"/>
                <w:szCs w:val="24"/>
              </w:rPr>
            </w:pPr>
            <w:r w:rsidDel="00000000" w:rsidR="00000000" w:rsidRPr="00000000">
              <w:rPr>
                <w:b w:val="1"/>
                <w:color w:val="3b66bc"/>
                <w:sz w:val="24"/>
                <w:szCs w:val="24"/>
                <w:rtl w:val="0"/>
              </w:rPr>
              <w:t xml:space="preserve">Contact telephone</w:t>
            </w:r>
          </w:p>
        </w:tc>
        <w:tc>
          <w:tcPr/>
          <w:p w:rsidR="00000000" w:rsidDel="00000000" w:rsidP="00000000" w:rsidRDefault="00000000" w:rsidRPr="00000000" w14:paraId="00000078">
            <w:pPr>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9">
            <w:pPr>
              <w:spacing w:after="100" w:before="60" w:line="264" w:lineRule="auto"/>
              <w:rPr>
                <w:b w:val="1"/>
                <w:color w:val="3b66bc"/>
                <w:sz w:val="24"/>
                <w:szCs w:val="24"/>
              </w:rPr>
            </w:pPr>
            <w:r w:rsidDel="00000000" w:rsidR="00000000" w:rsidRPr="00000000">
              <w:rPr>
                <w:b w:val="1"/>
                <w:color w:val="3b66bc"/>
                <w:sz w:val="24"/>
                <w:szCs w:val="24"/>
                <w:rtl w:val="0"/>
              </w:rPr>
              <w:t xml:space="preserve">Where did you hear about this open call? </w:t>
            </w:r>
          </w:p>
        </w:tc>
        <w:tc>
          <w:tcPr/>
          <w:p w:rsidR="00000000" w:rsidDel="00000000" w:rsidP="00000000" w:rsidRDefault="00000000" w:rsidRPr="00000000" w14:paraId="0000007A">
            <w:pPr>
              <w:spacing w:after="120" w:before="60" w:line="240" w:lineRule="auto"/>
              <w:rPr>
                <w:b w:val="1"/>
                <w:color w:val="3b66bc"/>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7B">
            <w:pPr>
              <w:spacing w:after="100" w:before="60" w:line="264" w:lineRule="auto"/>
              <w:rPr>
                <w:b w:val="1"/>
                <w:color w:val="3b66bc"/>
                <w:sz w:val="36"/>
                <w:szCs w:val="36"/>
              </w:rPr>
            </w:pPr>
            <w:r w:rsidDel="00000000" w:rsidR="00000000" w:rsidRPr="00000000">
              <w:rPr>
                <w:b w:val="1"/>
                <w:color w:val="3b66bc"/>
                <w:sz w:val="36"/>
                <w:szCs w:val="36"/>
                <w:rtl w:val="0"/>
              </w:rPr>
              <w:t xml:space="preserve">SECTION A: Intervention/activity</w:t>
            </w:r>
          </w:p>
          <w:p w:rsidR="00000000" w:rsidDel="00000000" w:rsidP="00000000" w:rsidRDefault="00000000" w:rsidRPr="00000000" w14:paraId="0000007C">
            <w:pPr>
              <w:spacing w:after="120" w:before="60" w:line="240" w:lineRule="auto"/>
              <w:rPr>
                <w:i w:val="1"/>
                <w:color w:val="3b66bc"/>
                <w:sz w:val="20"/>
                <w:szCs w:val="20"/>
              </w:rPr>
            </w:pPr>
            <w:r w:rsidDel="00000000" w:rsidR="00000000" w:rsidRPr="00000000">
              <w:rPr>
                <w:i w:val="1"/>
                <w:color w:val="3b66bc"/>
                <w:sz w:val="20"/>
                <w:szCs w:val="20"/>
                <w:rtl w:val="0"/>
              </w:rPr>
              <w:t xml:space="preserve">Please provide details on the intervention/activity that you would like to develop the TOC for:</w:t>
            </w:r>
          </w:p>
          <w:p w:rsidR="00000000" w:rsidDel="00000000" w:rsidP="00000000" w:rsidRDefault="00000000" w:rsidRPr="00000000" w14:paraId="0000007D">
            <w:pPr>
              <w:numPr>
                <w:ilvl w:val="0"/>
                <w:numId w:val="3"/>
              </w:numPr>
              <w:spacing w:after="0" w:afterAutospacing="0" w:before="60" w:line="240" w:lineRule="auto"/>
              <w:ind w:left="720" w:hanging="360"/>
              <w:rPr>
                <w:i w:val="1"/>
                <w:color w:val="3b66bc"/>
                <w:sz w:val="20"/>
                <w:szCs w:val="20"/>
                <w:u w:val="none"/>
              </w:rPr>
            </w:pPr>
            <w:r w:rsidDel="00000000" w:rsidR="00000000" w:rsidRPr="00000000">
              <w:rPr>
                <w:i w:val="1"/>
                <w:color w:val="3b66bc"/>
                <w:sz w:val="20"/>
                <w:szCs w:val="20"/>
                <w:rtl w:val="0"/>
              </w:rPr>
              <w:t xml:space="preserve">Intervention name/description</w:t>
            </w:r>
          </w:p>
          <w:p w:rsidR="00000000" w:rsidDel="00000000" w:rsidP="00000000" w:rsidRDefault="00000000" w:rsidRPr="00000000" w14:paraId="0000007E">
            <w:pPr>
              <w:numPr>
                <w:ilvl w:val="0"/>
                <w:numId w:val="3"/>
              </w:numPr>
              <w:spacing w:after="0" w:afterAutospacing="0" w:before="0" w:beforeAutospacing="0" w:line="240" w:lineRule="auto"/>
              <w:ind w:left="720" w:hanging="360"/>
              <w:rPr>
                <w:i w:val="1"/>
                <w:color w:val="3b66bc"/>
                <w:sz w:val="20"/>
                <w:szCs w:val="20"/>
                <w:u w:val="none"/>
              </w:rPr>
            </w:pPr>
            <w:r w:rsidDel="00000000" w:rsidR="00000000" w:rsidRPr="00000000">
              <w:rPr>
                <w:i w:val="1"/>
                <w:color w:val="3b66bc"/>
                <w:sz w:val="20"/>
                <w:szCs w:val="20"/>
                <w:rtl w:val="0"/>
              </w:rPr>
              <w:t xml:space="preserve">Aim of the intervention</w:t>
            </w:r>
          </w:p>
          <w:p w:rsidR="00000000" w:rsidDel="00000000" w:rsidP="00000000" w:rsidRDefault="00000000" w:rsidRPr="00000000" w14:paraId="0000007F">
            <w:pPr>
              <w:numPr>
                <w:ilvl w:val="0"/>
                <w:numId w:val="3"/>
              </w:numPr>
              <w:spacing w:after="120" w:before="0" w:beforeAutospacing="0" w:line="240" w:lineRule="auto"/>
              <w:ind w:left="720" w:hanging="360"/>
              <w:rPr>
                <w:i w:val="1"/>
                <w:color w:val="3b66bc"/>
                <w:sz w:val="20"/>
                <w:szCs w:val="20"/>
                <w:u w:val="none"/>
              </w:rPr>
            </w:pPr>
            <w:r w:rsidDel="00000000" w:rsidR="00000000" w:rsidRPr="00000000">
              <w:rPr>
                <w:i w:val="1"/>
                <w:color w:val="3b66bc"/>
                <w:sz w:val="20"/>
                <w:szCs w:val="20"/>
                <w:rtl w:val="0"/>
              </w:rPr>
              <w:t xml:space="preserve">Target group</w:t>
            </w:r>
          </w:p>
          <w:p w:rsidR="00000000" w:rsidDel="00000000" w:rsidP="00000000" w:rsidRDefault="00000000" w:rsidRPr="00000000" w14:paraId="00000080">
            <w:pPr>
              <w:spacing w:after="120" w:before="60" w:line="240" w:lineRule="auto"/>
              <w:rPr>
                <w:b w:val="1"/>
                <w:color w:val="3b66bc"/>
                <w:sz w:val="24"/>
                <w:szCs w:val="24"/>
              </w:rPr>
            </w:pPr>
            <w:r w:rsidDel="00000000" w:rsidR="00000000" w:rsidRPr="00000000">
              <w:rPr>
                <w:i w:val="1"/>
                <w:color w:val="3b66bc"/>
                <w:sz w:val="20"/>
                <w:szCs w:val="20"/>
                <w:rtl w:val="0"/>
              </w:rPr>
              <w:t xml:space="preserve">[700 words max]</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82">
            <w:pPr>
              <w:spacing w:after="100" w:before="60" w:line="264" w:lineRule="auto"/>
              <w:rPr>
                <w:b w:val="1"/>
                <w:color w:val="3b66bc"/>
                <w:sz w:val="24"/>
                <w:szCs w:val="24"/>
              </w:rPr>
            </w:pPr>
            <w:r w:rsidDel="00000000" w:rsidR="00000000" w:rsidRPr="00000000">
              <w:rPr>
                <w:rtl w:val="0"/>
              </w:rPr>
            </w:r>
          </w:p>
          <w:p w:rsidR="00000000" w:rsidDel="00000000" w:rsidP="00000000" w:rsidRDefault="00000000" w:rsidRPr="00000000" w14:paraId="00000083">
            <w:pPr>
              <w:spacing w:after="100" w:before="60" w:line="264" w:lineRule="auto"/>
              <w:rPr>
                <w:b w:val="1"/>
                <w:color w:val="3b66bc"/>
                <w:sz w:val="24"/>
                <w:szCs w:val="24"/>
              </w:rPr>
            </w:pPr>
            <w:r w:rsidDel="00000000" w:rsidR="00000000" w:rsidRPr="00000000">
              <w:rPr>
                <w:rtl w:val="0"/>
              </w:rPr>
            </w:r>
          </w:p>
          <w:p w:rsidR="00000000" w:rsidDel="00000000" w:rsidP="00000000" w:rsidRDefault="00000000" w:rsidRPr="00000000" w14:paraId="00000084">
            <w:pPr>
              <w:spacing w:after="120" w:before="60" w:line="240" w:lineRule="auto"/>
              <w:rPr>
                <w:rFonts w:ascii="MS Gothic" w:cs="MS Gothic" w:eastAsia="MS Gothic" w:hAnsi="MS Gothic"/>
                <w:b w:val="1"/>
                <w:color w:val="242852"/>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86">
            <w:pPr>
              <w:spacing w:after="120" w:before="60" w:line="240" w:lineRule="auto"/>
              <w:rPr>
                <w:b w:val="1"/>
                <w:color w:val="3b66bc"/>
                <w:sz w:val="36"/>
                <w:szCs w:val="36"/>
              </w:rPr>
            </w:pPr>
            <w:r w:rsidDel="00000000" w:rsidR="00000000" w:rsidRPr="00000000">
              <w:rPr>
                <w:b w:val="1"/>
                <w:color w:val="3b66bc"/>
                <w:sz w:val="36"/>
                <w:szCs w:val="36"/>
                <w:rtl w:val="0"/>
              </w:rPr>
              <w:t xml:space="preserve">SECTION B: Relevance/impact</w:t>
            </w:r>
          </w:p>
          <w:p w:rsidR="00000000" w:rsidDel="00000000" w:rsidP="00000000" w:rsidRDefault="00000000" w:rsidRPr="00000000" w14:paraId="00000087">
            <w:pPr>
              <w:spacing w:after="120" w:before="60" w:line="240" w:lineRule="auto"/>
              <w:rPr>
                <w:i w:val="1"/>
                <w:color w:val="3b66bc"/>
                <w:sz w:val="20"/>
                <w:szCs w:val="20"/>
              </w:rPr>
            </w:pPr>
            <w:r w:rsidDel="00000000" w:rsidR="00000000" w:rsidRPr="00000000">
              <w:rPr>
                <w:i w:val="1"/>
                <w:color w:val="3b66bc"/>
                <w:sz w:val="20"/>
                <w:szCs w:val="20"/>
                <w:rtl w:val="0"/>
              </w:rPr>
              <w:t xml:space="preserve">Please provide details on:</w:t>
            </w:r>
          </w:p>
          <w:p w:rsidR="00000000" w:rsidDel="00000000" w:rsidP="00000000" w:rsidRDefault="00000000" w:rsidRPr="00000000" w14:paraId="00000088">
            <w:pPr>
              <w:numPr>
                <w:ilvl w:val="0"/>
                <w:numId w:val="1"/>
              </w:numPr>
              <w:spacing w:before="60" w:line="240" w:lineRule="auto"/>
              <w:ind w:left="1080" w:hanging="360"/>
              <w:rPr>
                <w:i w:val="1"/>
                <w:color w:val="3b66bc"/>
                <w:sz w:val="20"/>
                <w:szCs w:val="20"/>
              </w:rPr>
            </w:pPr>
            <w:r w:rsidDel="00000000" w:rsidR="00000000" w:rsidRPr="00000000">
              <w:rPr>
                <w:i w:val="1"/>
                <w:color w:val="3b66bc"/>
                <w:sz w:val="20"/>
                <w:szCs w:val="20"/>
                <w:rtl w:val="0"/>
              </w:rPr>
              <w:t xml:space="preserve">The relevance of the intervention/activity for your provider and the wider sector</w:t>
            </w:r>
          </w:p>
          <w:p w:rsidR="00000000" w:rsidDel="00000000" w:rsidP="00000000" w:rsidRDefault="00000000" w:rsidRPr="00000000" w14:paraId="00000089">
            <w:pPr>
              <w:numPr>
                <w:ilvl w:val="0"/>
                <w:numId w:val="1"/>
              </w:numPr>
              <w:spacing w:before="60" w:line="240" w:lineRule="auto"/>
              <w:ind w:left="1080" w:hanging="360"/>
              <w:rPr>
                <w:i w:val="1"/>
                <w:color w:val="3b66bc"/>
                <w:sz w:val="20"/>
                <w:szCs w:val="20"/>
                <w:u w:val="none"/>
              </w:rPr>
            </w:pPr>
            <w:r w:rsidDel="00000000" w:rsidR="00000000" w:rsidRPr="00000000">
              <w:rPr>
                <w:i w:val="1"/>
                <w:color w:val="3b66bc"/>
                <w:sz w:val="20"/>
                <w:szCs w:val="20"/>
                <w:rtl w:val="0"/>
              </w:rPr>
              <w:t xml:space="preserve">Future plans for use/implementation of the TOC</w:t>
            </w:r>
          </w:p>
          <w:p w:rsidR="00000000" w:rsidDel="00000000" w:rsidP="00000000" w:rsidRDefault="00000000" w:rsidRPr="00000000" w14:paraId="0000008A">
            <w:pPr>
              <w:spacing w:after="120" w:line="240" w:lineRule="auto"/>
              <w:rPr>
                <w:i w:val="1"/>
                <w:color w:val="3b66bc"/>
                <w:sz w:val="20"/>
                <w:szCs w:val="20"/>
              </w:rPr>
            </w:pPr>
            <w:r w:rsidDel="00000000" w:rsidR="00000000" w:rsidRPr="00000000">
              <w:rPr>
                <w:i w:val="1"/>
                <w:color w:val="3b66bc"/>
                <w:sz w:val="20"/>
                <w:szCs w:val="20"/>
                <w:rtl w:val="0"/>
              </w:rPr>
              <w:t xml:space="preserve">[500 words max]</w:t>
            </w:r>
          </w:p>
        </w:tc>
      </w:tr>
      <w:tr>
        <w:trPr>
          <w:cantSplit w:val="0"/>
          <w:tblHeader w:val="0"/>
        </w:trPr>
        <w:tc>
          <w:tcPr>
            <w:gridSpan w:val="2"/>
            <w:shd w:fill="auto" w:val="clear"/>
          </w:tcPr>
          <w:p w:rsidR="00000000" w:rsidDel="00000000" w:rsidP="00000000" w:rsidRDefault="00000000" w:rsidRPr="00000000" w14:paraId="0000008C">
            <w:pPr>
              <w:spacing w:after="120" w:before="60" w:line="240" w:lineRule="auto"/>
              <w:rPr>
                <w:b w:val="1"/>
                <w:color w:val="3b66bc"/>
                <w:sz w:val="24"/>
                <w:szCs w:val="24"/>
              </w:rPr>
            </w:pPr>
            <w:r w:rsidDel="00000000" w:rsidR="00000000" w:rsidRPr="00000000">
              <w:rPr>
                <w:rtl w:val="0"/>
              </w:rPr>
            </w:r>
          </w:p>
        </w:tc>
      </w:tr>
      <w:tr>
        <w:trPr>
          <w:cantSplit w:val="0"/>
          <w:tblHeader w:val="0"/>
        </w:trPr>
        <w:tc>
          <w:tcPr>
            <w:gridSpan w:val="2"/>
            <w:shd w:fill="d9e2f3" w:val="clear"/>
          </w:tcPr>
          <w:p w:rsidR="00000000" w:rsidDel="00000000" w:rsidP="00000000" w:rsidRDefault="00000000" w:rsidRPr="00000000" w14:paraId="0000008E">
            <w:pPr>
              <w:spacing w:after="120" w:before="60" w:line="240" w:lineRule="auto"/>
              <w:rPr>
                <w:i w:val="1"/>
                <w:color w:val="3b66bc"/>
                <w:sz w:val="20"/>
                <w:szCs w:val="20"/>
              </w:rPr>
            </w:pPr>
            <w:r w:rsidDel="00000000" w:rsidR="00000000" w:rsidRPr="00000000">
              <w:rPr>
                <w:b w:val="1"/>
                <w:color w:val="3b66bc"/>
                <w:sz w:val="36"/>
                <w:szCs w:val="36"/>
                <w:rtl w:val="0"/>
              </w:rPr>
              <w:t xml:space="preserve">SECTION C: Team</w:t>
            </w:r>
            <w:r w:rsidDel="00000000" w:rsidR="00000000" w:rsidRPr="00000000">
              <w:rPr>
                <w:rtl w:val="0"/>
              </w:rPr>
            </w:r>
          </w:p>
          <w:p w:rsidR="00000000" w:rsidDel="00000000" w:rsidP="00000000" w:rsidRDefault="00000000" w:rsidRPr="00000000" w14:paraId="0000008F">
            <w:pPr>
              <w:spacing w:after="120" w:before="60" w:line="240" w:lineRule="auto"/>
              <w:rPr>
                <w:i w:val="1"/>
                <w:sz w:val="24"/>
                <w:szCs w:val="24"/>
              </w:rPr>
            </w:pPr>
            <w:r w:rsidDel="00000000" w:rsidR="00000000" w:rsidRPr="00000000">
              <w:rPr>
                <w:i w:val="1"/>
                <w:color w:val="3b66bc"/>
                <w:sz w:val="20"/>
                <w:szCs w:val="20"/>
                <w:rtl w:val="0"/>
              </w:rPr>
              <w:t xml:space="preserve">Please provide details of the team who will be involved in delivering / supporting the </w:t>
            </w:r>
            <w:r w:rsidDel="00000000" w:rsidR="00000000" w:rsidRPr="00000000">
              <w:rPr>
                <w:i w:val="1"/>
                <w:color w:val="3b66bc"/>
                <w:sz w:val="20"/>
                <w:szCs w:val="20"/>
                <w:rtl w:val="0"/>
              </w:rPr>
              <w:t xml:space="preserve">development</w:t>
            </w:r>
            <w:r w:rsidDel="00000000" w:rsidR="00000000" w:rsidRPr="00000000">
              <w:rPr>
                <w:i w:val="1"/>
                <w:color w:val="3b66bc"/>
                <w:sz w:val="20"/>
                <w:szCs w:val="20"/>
                <w:rtl w:val="0"/>
              </w:rPr>
              <w:t xml:space="preserve"> of the TOC:</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60" w:line="240" w:lineRule="auto"/>
              <w:ind w:left="720" w:right="0" w:hanging="360"/>
              <w:jc w:val="left"/>
              <w:rPr>
                <w:i w:val="1"/>
                <w:color w:val="3b66bc"/>
                <w:sz w:val="20"/>
                <w:szCs w:val="20"/>
              </w:rPr>
            </w:pPr>
            <w:r w:rsidDel="00000000" w:rsidR="00000000" w:rsidRPr="00000000">
              <w:rPr>
                <w:i w:val="1"/>
                <w:color w:val="3b66bc"/>
                <w:sz w:val="20"/>
                <w:szCs w:val="20"/>
                <w:rtl w:val="0"/>
              </w:rPr>
              <w:t xml:space="preserve">Details of key staff who will be involved with the TOC development, including relevant </w:t>
            </w:r>
            <w:r w:rsidDel="00000000" w:rsidR="00000000" w:rsidRPr="00000000">
              <w:rPr>
                <w:i w:val="1"/>
                <w:color w:val="3b66bc"/>
                <w:sz w:val="20"/>
                <w:szCs w:val="20"/>
                <w:rtl w:val="0"/>
              </w:rPr>
              <w:t xml:space="preserve">knowledge and skills (of both the topic area and evaluation)</w:t>
            </w:r>
          </w:p>
          <w:p w:rsidR="00000000" w:rsidDel="00000000" w:rsidP="00000000" w:rsidRDefault="00000000" w:rsidRPr="00000000" w14:paraId="00000091">
            <w:pPr>
              <w:numPr>
                <w:ilvl w:val="0"/>
                <w:numId w:val="3"/>
              </w:numPr>
              <w:spacing w:after="0" w:afterAutospacing="0"/>
              <w:ind w:left="720" w:hanging="360"/>
              <w:rPr>
                <w:i w:val="1"/>
                <w:color w:val="3b66bc"/>
                <w:sz w:val="20"/>
                <w:szCs w:val="20"/>
              </w:rPr>
            </w:pPr>
            <w:r w:rsidDel="00000000" w:rsidR="00000000" w:rsidRPr="00000000">
              <w:rPr>
                <w:i w:val="1"/>
                <w:color w:val="3b66bc"/>
                <w:sz w:val="20"/>
                <w:szCs w:val="20"/>
                <w:rtl w:val="0"/>
              </w:rPr>
              <w:t xml:space="preserve">The team’s commitment to evidence-informed practice</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1"/>
                <w:color w:val="3b66bc"/>
                <w:sz w:val="20"/>
                <w:szCs w:val="20"/>
              </w:rPr>
            </w:pPr>
            <w:r w:rsidDel="00000000" w:rsidR="00000000" w:rsidRPr="00000000">
              <w:rPr>
                <w:i w:val="1"/>
                <w:color w:val="3b66bc"/>
                <w:sz w:val="20"/>
                <w:szCs w:val="20"/>
                <w:rtl w:val="0"/>
              </w:rPr>
              <w:t xml:space="preserve">The team’s approach to transparency and accountability when working with independent evaluators</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beforeAutospacing="0" w:line="240" w:lineRule="auto"/>
              <w:ind w:left="720" w:right="0" w:hanging="360"/>
              <w:jc w:val="left"/>
              <w:rPr>
                <w:i w:val="1"/>
                <w:color w:val="3b66bc"/>
                <w:sz w:val="20"/>
                <w:szCs w:val="20"/>
              </w:rPr>
            </w:pPr>
            <w:r w:rsidDel="00000000" w:rsidR="00000000" w:rsidRPr="00000000">
              <w:rPr>
                <w:i w:val="1"/>
                <w:color w:val="3b66bc"/>
                <w:sz w:val="20"/>
                <w:szCs w:val="20"/>
                <w:rtl w:val="0"/>
              </w:rPr>
              <w:t xml:space="preserve">Capacity to meet key </w:t>
            </w:r>
            <w:r w:rsidDel="00000000" w:rsidR="00000000" w:rsidRPr="00000000">
              <w:rPr>
                <w:i w:val="1"/>
                <w:color w:val="3b66bc"/>
                <w:sz w:val="20"/>
                <w:szCs w:val="20"/>
                <w:rtl w:val="0"/>
              </w:rPr>
              <w:t xml:space="preserve">responsibilities</w:t>
            </w:r>
            <w:r w:rsidDel="00000000" w:rsidR="00000000" w:rsidRPr="00000000">
              <w:rPr>
                <w:i w:val="1"/>
                <w:color w:val="3b66bc"/>
                <w:sz w:val="20"/>
                <w:szCs w:val="20"/>
                <w:rtl w:val="0"/>
              </w:rPr>
              <w:t xml:space="preserve"> in Table 2</w:t>
            </w:r>
            <w:r w:rsidDel="00000000" w:rsidR="00000000" w:rsidRPr="00000000">
              <w:rPr>
                <w:rtl w:val="0"/>
              </w:rPr>
            </w:r>
          </w:p>
          <w:p w:rsidR="00000000" w:rsidDel="00000000" w:rsidP="00000000" w:rsidRDefault="00000000" w:rsidRPr="00000000" w14:paraId="00000094">
            <w:pPr>
              <w:spacing w:after="120" w:before="60" w:line="240" w:lineRule="auto"/>
              <w:rPr>
                <w:b w:val="1"/>
                <w:color w:val="3b66bc"/>
                <w:sz w:val="36"/>
                <w:szCs w:val="36"/>
              </w:rPr>
            </w:pPr>
            <w:r w:rsidDel="00000000" w:rsidR="00000000" w:rsidRPr="00000000">
              <w:rPr>
                <w:i w:val="1"/>
                <w:color w:val="3b66bc"/>
                <w:sz w:val="20"/>
                <w:szCs w:val="20"/>
                <w:rtl w:val="0"/>
              </w:rPr>
              <w:t xml:space="preserve">[500 words max]</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96">
            <w:pPr>
              <w:spacing w:line="264" w:lineRule="auto"/>
              <w:rPr>
                <w:color w:val="3b66bc"/>
                <w:sz w:val="24"/>
                <w:szCs w:val="24"/>
              </w:rPr>
            </w:pPr>
            <w:r w:rsidDel="00000000" w:rsidR="00000000" w:rsidRPr="00000000">
              <w:rPr>
                <w:rtl w:val="0"/>
              </w:rPr>
            </w:r>
          </w:p>
          <w:p w:rsidR="00000000" w:rsidDel="00000000" w:rsidP="00000000" w:rsidRDefault="00000000" w:rsidRPr="00000000" w14:paraId="00000097">
            <w:pPr>
              <w:spacing w:line="264" w:lineRule="auto"/>
              <w:rPr>
                <w:color w:val="3b66bc"/>
                <w:sz w:val="24"/>
                <w:szCs w:val="24"/>
              </w:rPr>
            </w:pPr>
            <w:r w:rsidDel="00000000" w:rsidR="00000000" w:rsidRPr="00000000">
              <w:rPr>
                <w:rtl w:val="0"/>
              </w:rPr>
            </w:r>
          </w:p>
          <w:p w:rsidR="00000000" w:rsidDel="00000000" w:rsidP="00000000" w:rsidRDefault="00000000" w:rsidRPr="00000000" w14:paraId="00000098">
            <w:pPr>
              <w:spacing w:line="264" w:lineRule="auto"/>
              <w:rPr>
                <w:color w:val="3b66bc"/>
                <w:sz w:val="24"/>
                <w:szCs w:val="24"/>
              </w:rPr>
            </w:pPr>
            <w:r w:rsidDel="00000000" w:rsidR="00000000" w:rsidRPr="00000000">
              <w:rPr>
                <w:rtl w:val="0"/>
              </w:rPr>
            </w:r>
          </w:p>
          <w:p w:rsidR="00000000" w:rsidDel="00000000" w:rsidP="00000000" w:rsidRDefault="00000000" w:rsidRPr="00000000" w14:paraId="00000099">
            <w:pPr>
              <w:spacing w:line="264" w:lineRule="auto"/>
              <w:rPr>
                <w:color w:val="3b66bc"/>
                <w:sz w:val="24"/>
                <w:szCs w:val="24"/>
              </w:rPr>
            </w:pP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60" w:lineRule="auto"/>
        <w:rPr>
          <w:color w:val="000000"/>
        </w:rPr>
        <w:sectPr>
          <w:headerReference r:id="rId14" w:type="default"/>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9C">
      <w:pPr>
        <w:rPr>
          <w:b w:val="1"/>
          <w:color w:val="000000"/>
        </w:rPr>
      </w:pPr>
      <w:r w:rsidDel="00000000" w:rsidR="00000000" w:rsidRPr="00000000">
        <w:rPr>
          <w:rtl w:val="0"/>
        </w:rPr>
      </w:r>
    </w:p>
    <w:p w:rsidR="00000000" w:rsidDel="00000000" w:rsidP="00000000" w:rsidRDefault="00000000" w:rsidRPr="00000000" w14:paraId="0000009D">
      <w:pPr>
        <w:keepNext w:val="1"/>
        <w:keepLines w:val="1"/>
        <w:pBdr>
          <w:top w:space="0" w:sz="0" w:val="nil"/>
          <w:left w:space="0" w:sz="0" w:val="nil"/>
          <w:bottom w:space="0" w:sz="0" w:val="nil"/>
          <w:right w:space="0" w:sz="0" w:val="nil"/>
          <w:between w:space="0" w:sz="0" w:val="nil"/>
        </w:pBdr>
        <w:spacing w:after="120" w:before="60" w:lineRule="auto"/>
        <w:rPr>
          <w:i w:val="1"/>
          <w:color w:val="434343"/>
          <w:sz w:val="24"/>
          <w:szCs w:val="24"/>
        </w:rPr>
      </w:pPr>
      <w:r w:rsidDel="00000000" w:rsidR="00000000" w:rsidRPr="00000000">
        <w:rPr>
          <w:i w:val="1"/>
          <w:color w:val="434343"/>
          <w:sz w:val="24"/>
          <w:szCs w:val="24"/>
          <w:rtl w:val="0"/>
        </w:rPr>
        <w:t xml:space="preserve">Additional guidance</w:t>
      </w:r>
    </w:p>
    <w:p w:rsidR="00000000" w:rsidDel="00000000" w:rsidP="00000000" w:rsidRDefault="00000000" w:rsidRPr="00000000" w14:paraId="0000009E">
      <w:pPr>
        <w:numPr>
          <w:ilvl w:val="0"/>
          <w:numId w:val="7"/>
        </w:numPr>
        <w:pBdr>
          <w:top w:space="0" w:sz="0" w:val="nil"/>
          <w:left w:space="0" w:sz="0" w:val="nil"/>
          <w:bottom w:space="0" w:sz="0" w:val="nil"/>
          <w:right w:space="0" w:sz="0" w:val="nil"/>
          <w:between w:space="0" w:sz="0" w:val="nil"/>
        </w:pBdr>
        <w:spacing w:before="60" w:lineRule="auto"/>
        <w:ind w:left="720" w:hanging="360"/>
        <w:rPr>
          <w:color w:val="000000"/>
        </w:rPr>
      </w:pPr>
      <w:r w:rsidDel="00000000" w:rsidR="00000000" w:rsidRPr="00000000">
        <w:rPr>
          <w:color w:val="000000"/>
          <w:rtl w:val="0"/>
        </w:rPr>
        <w:t xml:space="preserve">TASO reserves the right, acting reasonably, to:</w:t>
      </w:r>
    </w:p>
    <w:p w:rsidR="00000000" w:rsidDel="00000000" w:rsidP="00000000" w:rsidRDefault="00000000" w:rsidRPr="00000000" w14:paraId="0000009F">
      <w:pPr>
        <w:numPr>
          <w:ilvl w:val="1"/>
          <w:numId w:val="7"/>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Discontinue the award procedure in the absence of appropriate applications;  </w:t>
      </w:r>
    </w:p>
    <w:p w:rsidR="00000000" w:rsidDel="00000000" w:rsidP="00000000" w:rsidRDefault="00000000" w:rsidRPr="00000000" w14:paraId="000000A0">
      <w:pPr>
        <w:numPr>
          <w:ilvl w:val="1"/>
          <w:numId w:val="7"/>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Change the timetable for the procurement of the Contract, and in such circumstances TASO will notify all applicants of any change by the fastest means possible;</w:t>
      </w:r>
    </w:p>
    <w:p w:rsidR="00000000" w:rsidDel="00000000" w:rsidP="00000000" w:rsidRDefault="00000000" w:rsidRPr="00000000" w14:paraId="000000A1">
      <w:pPr>
        <w:numPr>
          <w:ilvl w:val="1"/>
          <w:numId w:val="7"/>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Terminate discussions with organisations which apply; </w:t>
      </w:r>
    </w:p>
    <w:p w:rsidR="00000000" w:rsidDel="00000000" w:rsidP="00000000" w:rsidRDefault="00000000" w:rsidRPr="00000000" w14:paraId="000000A2">
      <w:pPr>
        <w:numPr>
          <w:ilvl w:val="1"/>
          <w:numId w:val="7"/>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Discontinue the procedure leading to the award of the Contract;</w:t>
      </w:r>
    </w:p>
    <w:p w:rsidR="00000000" w:rsidDel="00000000" w:rsidP="00000000" w:rsidRDefault="00000000" w:rsidRPr="00000000" w14:paraId="000000A3">
      <w:pPr>
        <w:numPr>
          <w:ilvl w:val="1"/>
          <w:numId w:val="7"/>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Not to award any Contract at all as a result of this process</w:t>
      </w:r>
    </w:p>
    <w:p w:rsidR="00000000" w:rsidDel="00000000" w:rsidP="00000000" w:rsidRDefault="00000000" w:rsidRPr="00000000" w14:paraId="000000A4">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Under no circumstances shall TASO incur any liability in respect of any of these actions.</w:t>
      </w:r>
    </w:p>
    <w:p w:rsidR="00000000" w:rsidDel="00000000" w:rsidP="00000000" w:rsidRDefault="00000000" w:rsidRPr="00000000" w14:paraId="000000A5">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No publicity regarding the project will be permitted until TASO has given express written consent to the relevant communication. No statements may be made to any part of the media regarding the nature of this application, its contents or any proposals relating to it without the prior written consent of TASO.</w:t>
      </w:r>
    </w:p>
    <w:p w:rsidR="00000000" w:rsidDel="00000000" w:rsidP="00000000" w:rsidRDefault="00000000" w:rsidRPr="00000000" w14:paraId="000000A6">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TASO will not reimburse any costs incurred by organisations in connection with preparation of their applications. </w:t>
      </w:r>
    </w:p>
    <w:p w:rsidR="00000000" w:rsidDel="00000000" w:rsidP="00000000" w:rsidRDefault="00000000" w:rsidRPr="00000000" w14:paraId="000000A7">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If you are unsure of the meaning of a question or anything in this call for applications then it is your responsibility to ask TASO to clarify in writing via email.</w:t>
      </w:r>
    </w:p>
    <w:p w:rsidR="00000000" w:rsidDel="00000000" w:rsidP="00000000" w:rsidRDefault="00000000" w:rsidRPr="00000000" w14:paraId="000000A8">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TASO will aim to answer clarification questions within five (5) working days, but does not undertake to do so. TASO may also decline to answer a question if it deems the question to be inappropriate. If TASO is unable to answer a question, this will be communicated.</w:t>
      </w:r>
    </w:p>
    <w:p w:rsidR="00000000" w:rsidDel="00000000" w:rsidP="00000000" w:rsidRDefault="00000000" w:rsidRPr="00000000" w14:paraId="000000A9">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MS Gothic"/>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Crawford, C. (2014). The link between secondary school characteristics and university participation and outcomes, London: Department for Education: The link between secondary school characteristics and university participation and outcomes: CAYT research report.</w:t>
      </w:r>
    </w:p>
    <w:p w:rsidR="00000000" w:rsidDel="00000000" w:rsidP="00000000" w:rsidRDefault="00000000" w:rsidRPr="00000000" w14:paraId="000000AC">
      <w:pPr>
        <w:spacing w:line="240" w:lineRule="auto"/>
        <w:rPr>
          <w:sz w:val="20"/>
          <w:szCs w:val="20"/>
        </w:rPr>
      </w:pPr>
      <w:r w:rsidDel="00000000" w:rsidR="00000000" w:rsidRPr="00000000">
        <w:rPr>
          <w:rtl w:val="0"/>
        </w:rPr>
      </w:r>
    </w:p>
    <w:p w:rsidR="00000000" w:rsidDel="00000000" w:rsidP="00000000" w:rsidRDefault="00000000" w:rsidRPr="00000000" w14:paraId="000000AD">
      <w:pPr>
        <w:spacing w:line="240" w:lineRule="auto"/>
        <w:rPr>
          <w:sz w:val="20"/>
          <w:szCs w:val="20"/>
        </w:rPr>
      </w:pPr>
      <w:r w:rsidDel="00000000" w:rsidR="00000000" w:rsidRPr="00000000">
        <w:rPr>
          <w:sz w:val="20"/>
          <w:szCs w:val="20"/>
          <w:highlight w:val="white"/>
          <w:rtl w:val="0"/>
        </w:rPr>
        <w:t xml:space="preserve">Crawford, C., Gregg, P., Macmillan, L., Vignoles, A. and Wyness, G., 2016. Higher education, career opportunities, and intergenerational inequality. </w:t>
      </w:r>
      <w:r w:rsidDel="00000000" w:rsidR="00000000" w:rsidRPr="00000000">
        <w:rPr>
          <w:i w:val="1"/>
          <w:sz w:val="20"/>
          <w:szCs w:val="20"/>
          <w:highlight w:val="white"/>
          <w:rtl w:val="0"/>
        </w:rPr>
        <w:t xml:space="preserve">Oxford Review of Economic Policy</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32</w:t>
      </w:r>
      <w:r w:rsidDel="00000000" w:rsidR="00000000" w:rsidRPr="00000000">
        <w:rPr>
          <w:sz w:val="20"/>
          <w:szCs w:val="20"/>
          <w:highlight w:val="white"/>
          <w:rtl w:val="0"/>
        </w:rPr>
        <w:t xml:space="preserve">(4), pp.553-575</w:t>
      </w:r>
      <w:r w:rsidDel="00000000" w:rsidR="00000000" w:rsidRPr="00000000">
        <w:rPr>
          <w:rFonts w:ascii="Century Gothic" w:cs="Century Gothic" w:eastAsia="Century Gothic" w:hAnsi="Century Gothic"/>
          <w:color w:val="222222"/>
          <w:sz w:val="18"/>
          <w:szCs w:val="18"/>
          <w:highlight w:val="white"/>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pPr>
    <w:r w:rsidDel="00000000" w:rsidR="00000000" w:rsidRPr="00000000">
      <w:rPr>
        <w:rtl w:val="0"/>
      </w:rPr>
    </w:r>
    <w:r w:rsidDel="00000000" w:rsidR="00000000" w:rsidRPr="00000000">
      <w:drawing>
        <wp:anchor allowOverlap="1" behindDoc="0" distB="101600" distT="0" distL="0" distR="0" hidden="0" layoutInCell="1" locked="0" relativeHeight="0" simplePos="0">
          <wp:simplePos x="0" y="0"/>
          <wp:positionH relativeFrom="column">
            <wp:posOffset>-838199</wp:posOffset>
          </wp:positionH>
          <wp:positionV relativeFrom="paragraph">
            <wp:posOffset>-247649</wp:posOffset>
          </wp:positionV>
          <wp:extent cx="2690813" cy="806338"/>
          <wp:effectExtent b="0" l="0" r="0" t="0"/>
          <wp:wrapSquare wrapText="bothSides" distB="101600" distT="0" distL="0" distR="0"/>
          <wp:docPr descr="A picture containing object&#10;&#10;Description automatically generated" id="261300548" name="image1.png"/>
          <a:graphic>
            <a:graphicData uri="http://schemas.openxmlformats.org/drawingml/2006/picture">
              <pic:pic>
                <pic:nvPicPr>
                  <pic:cNvPr descr="A picture containing object&#10;&#10;Description automatically generated" id="0" name="image1.png"/>
                  <pic:cNvPicPr preferRelativeResize="0"/>
                </pic:nvPicPr>
                <pic:blipFill>
                  <a:blip r:embed="rId1"/>
                  <a:srcRect b="0" l="0" r="0" t="0"/>
                  <a:stretch>
                    <a:fillRect/>
                  </a:stretch>
                </pic:blipFill>
                <pic:spPr>
                  <a:xfrm>
                    <a:off x="0" y="0"/>
                    <a:ext cx="2690813" cy="8063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16C7"/>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semiHidden w:val="1"/>
    <w:unhideWhenUsed w:val="1"/>
    <w:qFormat w:val="1"/>
    <w:rsid w:val="00ED2C30"/>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next w:val="Normal"/>
    <w:link w:val="Heading3Char"/>
    <w:uiPriority w:val="9"/>
    <w:semiHidden w:val="1"/>
    <w:unhideWhenUsed w:val="1"/>
    <w:qFormat w:val="1"/>
    <w:rsid w:val="00A66B47"/>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link w:val="ListParagraphChar"/>
    <w:uiPriority w:val="34"/>
    <w:qFormat w:val="1"/>
    <w:rsid w:val="00C016C7"/>
    <w:pPr>
      <w:ind w:left="720"/>
      <w:contextualSpacing w:val="1"/>
    </w:pPr>
  </w:style>
  <w:style w:type="paragraph" w:styleId="NormalWeb">
    <w:name w:val="Normal (Web)"/>
    <w:basedOn w:val="Normal"/>
    <w:uiPriority w:val="99"/>
    <w:semiHidden w:val="1"/>
    <w:unhideWhenUsed w:val="1"/>
    <w:rsid w:val="00F976EA"/>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7163C7"/>
    <w:rPr>
      <w:color w:val="0563c1" w:themeColor="hyperlink"/>
      <w:u w:val="single"/>
    </w:rPr>
  </w:style>
  <w:style w:type="character" w:styleId="UnresolvedMention">
    <w:name w:val="Unresolved Mention"/>
    <w:basedOn w:val="DefaultParagraphFont"/>
    <w:uiPriority w:val="99"/>
    <w:rsid w:val="007163C7"/>
    <w:rPr>
      <w:color w:val="605e5c"/>
      <w:shd w:color="auto" w:fill="e1dfdd" w:val="clear"/>
    </w:rPr>
  </w:style>
  <w:style w:type="character" w:styleId="FollowedHyperlink">
    <w:name w:val="FollowedHyperlink"/>
    <w:basedOn w:val="DefaultParagraphFont"/>
    <w:uiPriority w:val="99"/>
    <w:semiHidden w:val="1"/>
    <w:unhideWhenUsed w:val="1"/>
    <w:rsid w:val="007163C7"/>
    <w:rPr>
      <w:color w:val="954f72" w:themeColor="followedHyperlink"/>
      <w:u w:val="single"/>
    </w:rPr>
  </w:style>
  <w:style w:type="character" w:styleId="Heading2Char" w:customStyle="1">
    <w:name w:val="Heading 2 Char"/>
    <w:basedOn w:val="DefaultParagraphFont"/>
    <w:link w:val="Heading2"/>
    <w:uiPriority w:val="9"/>
    <w:rsid w:val="00ED2C30"/>
    <w:rPr>
      <w:rFonts w:ascii="Times New Roman" w:cs="Times New Roman" w:eastAsia="Times New Roman" w:hAnsi="Times New Roman"/>
      <w:b w:val="1"/>
      <w:bCs w:val="1"/>
      <w:sz w:val="36"/>
      <w:szCs w:val="36"/>
      <w:lang w:eastAsia="en-GB"/>
    </w:rPr>
  </w:style>
  <w:style w:type="character" w:styleId="normaltextrun" w:customStyle="1">
    <w:name w:val="normaltextrun"/>
    <w:basedOn w:val="DefaultParagraphFont"/>
    <w:rsid w:val="00BA1693"/>
  </w:style>
  <w:style w:type="character" w:styleId="CommentReference">
    <w:name w:val="annotation reference"/>
    <w:basedOn w:val="DefaultParagraphFont"/>
    <w:uiPriority w:val="99"/>
    <w:semiHidden w:val="1"/>
    <w:unhideWhenUsed w:val="1"/>
    <w:rsid w:val="00E3189B"/>
    <w:rPr>
      <w:sz w:val="16"/>
      <w:szCs w:val="16"/>
    </w:rPr>
  </w:style>
  <w:style w:type="paragraph" w:styleId="CommentText">
    <w:name w:val="annotation text"/>
    <w:basedOn w:val="Normal"/>
    <w:link w:val="CommentTextChar"/>
    <w:uiPriority w:val="99"/>
    <w:unhideWhenUsed w:val="1"/>
    <w:rsid w:val="00E3189B"/>
    <w:pPr>
      <w:spacing w:line="240" w:lineRule="auto"/>
    </w:pPr>
    <w:rPr>
      <w:sz w:val="20"/>
      <w:szCs w:val="20"/>
    </w:rPr>
  </w:style>
  <w:style w:type="character" w:styleId="CommentTextChar" w:customStyle="1">
    <w:name w:val="Comment Text Char"/>
    <w:basedOn w:val="DefaultParagraphFont"/>
    <w:link w:val="CommentText"/>
    <w:uiPriority w:val="99"/>
    <w:rsid w:val="00E3189B"/>
    <w:rPr>
      <w:rFonts w:ascii="Arial" w:cs="Arial" w:eastAsia="Arial" w:hAnsi="Arial"/>
      <w:sz w:val="20"/>
      <w:szCs w:val="20"/>
      <w:lang w:eastAsia="en-GB"/>
    </w:rPr>
  </w:style>
  <w:style w:type="paragraph" w:styleId="CommentSubject">
    <w:name w:val="annotation subject"/>
    <w:basedOn w:val="CommentText"/>
    <w:next w:val="CommentText"/>
    <w:link w:val="CommentSubjectChar"/>
    <w:uiPriority w:val="99"/>
    <w:semiHidden w:val="1"/>
    <w:unhideWhenUsed w:val="1"/>
    <w:rsid w:val="00E3189B"/>
    <w:rPr>
      <w:b w:val="1"/>
      <w:bCs w:val="1"/>
    </w:rPr>
  </w:style>
  <w:style w:type="character" w:styleId="CommentSubjectChar" w:customStyle="1">
    <w:name w:val="Comment Subject Char"/>
    <w:basedOn w:val="CommentTextChar"/>
    <w:link w:val="CommentSubject"/>
    <w:uiPriority w:val="99"/>
    <w:semiHidden w:val="1"/>
    <w:rsid w:val="00E3189B"/>
    <w:rPr>
      <w:rFonts w:ascii="Arial" w:cs="Arial" w:eastAsia="Arial" w:hAnsi="Arial"/>
      <w:b w:val="1"/>
      <w:bCs w:val="1"/>
      <w:sz w:val="20"/>
      <w:szCs w:val="20"/>
      <w:lang w:eastAsia="en-GB"/>
    </w:rPr>
  </w:style>
  <w:style w:type="paragraph" w:styleId="BalloonText">
    <w:name w:val="Balloon Text"/>
    <w:basedOn w:val="Normal"/>
    <w:link w:val="BalloonTextChar"/>
    <w:uiPriority w:val="99"/>
    <w:semiHidden w:val="1"/>
    <w:unhideWhenUsed w:val="1"/>
    <w:rsid w:val="00E3189B"/>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3189B"/>
    <w:rPr>
      <w:rFonts w:ascii="Times New Roman" w:cs="Times New Roman" w:eastAsia="Arial" w:hAnsi="Times New Roman"/>
      <w:sz w:val="18"/>
      <w:szCs w:val="18"/>
      <w:lang w:eastAsia="en-GB"/>
    </w:rPr>
  </w:style>
  <w:style w:type="paragraph" w:styleId="paragraph" w:customStyle="1">
    <w:name w:val="paragraph"/>
    <w:basedOn w:val="Normal"/>
    <w:rsid w:val="00716428"/>
    <w:pPr>
      <w:spacing w:after="100" w:afterAutospacing="1" w:before="100" w:beforeAutospacing="1" w:line="240" w:lineRule="auto"/>
    </w:pPr>
    <w:rPr>
      <w:rFonts w:ascii="Times New Roman" w:cs="Times New Roman" w:eastAsia="Times New Roman" w:hAnsi="Times New Roman"/>
      <w:sz w:val="24"/>
      <w:szCs w:val="24"/>
    </w:rPr>
  </w:style>
  <w:style w:type="character" w:styleId="eop" w:customStyle="1">
    <w:name w:val="eop"/>
    <w:basedOn w:val="DefaultParagraphFont"/>
    <w:rsid w:val="00716428"/>
  </w:style>
  <w:style w:type="paragraph" w:styleId="Header">
    <w:name w:val="header"/>
    <w:basedOn w:val="Normal"/>
    <w:link w:val="HeaderChar"/>
    <w:uiPriority w:val="99"/>
    <w:unhideWhenUsed w:val="1"/>
    <w:rsid w:val="00D85DA7"/>
    <w:pPr>
      <w:tabs>
        <w:tab w:val="center" w:pos="4513"/>
        <w:tab w:val="right" w:pos="9026"/>
      </w:tabs>
      <w:spacing w:line="240" w:lineRule="auto"/>
    </w:pPr>
  </w:style>
  <w:style w:type="character" w:styleId="HeaderChar" w:customStyle="1">
    <w:name w:val="Header Char"/>
    <w:basedOn w:val="DefaultParagraphFont"/>
    <w:link w:val="Header"/>
    <w:uiPriority w:val="99"/>
    <w:rsid w:val="00D85DA7"/>
    <w:rPr>
      <w:rFonts w:ascii="Arial" w:cs="Arial" w:eastAsia="Arial" w:hAnsi="Arial"/>
      <w:sz w:val="22"/>
      <w:szCs w:val="22"/>
      <w:lang w:eastAsia="en-GB"/>
    </w:rPr>
  </w:style>
  <w:style w:type="paragraph" w:styleId="Footer">
    <w:name w:val="footer"/>
    <w:basedOn w:val="Normal"/>
    <w:link w:val="FooterChar"/>
    <w:uiPriority w:val="99"/>
    <w:unhideWhenUsed w:val="1"/>
    <w:rsid w:val="00D85DA7"/>
    <w:pPr>
      <w:tabs>
        <w:tab w:val="center" w:pos="4513"/>
        <w:tab w:val="right" w:pos="9026"/>
      </w:tabs>
      <w:spacing w:line="240" w:lineRule="auto"/>
    </w:pPr>
  </w:style>
  <w:style w:type="character" w:styleId="FooterChar" w:customStyle="1">
    <w:name w:val="Footer Char"/>
    <w:basedOn w:val="DefaultParagraphFont"/>
    <w:link w:val="Footer"/>
    <w:uiPriority w:val="99"/>
    <w:rsid w:val="00D85DA7"/>
    <w:rPr>
      <w:rFonts w:ascii="Arial" w:cs="Arial" w:eastAsia="Arial" w:hAnsi="Arial"/>
      <w:sz w:val="22"/>
      <w:szCs w:val="22"/>
      <w:lang w:eastAsia="en-GB"/>
    </w:rPr>
  </w:style>
  <w:style w:type="table" w:styleId="TableGrid">
    <w:name w:val="Table Grid"/>
    <w:basedOn w:val="TableNormal"/>
    <w:uiPriority w:val="59"/>
    <w:rsid w:val="00674F9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link w:val="ListParagraph"/>
    <w:uiPriority w:val="34"/>
    <w:locked w:val="1"/>
    <w:rsid w:val="001735E2"/>
    <w:rPr>
      <w:rFonts w:ascii="Arial" w:cs="Arial" w:eastAsia="Arial" w:hAnsi="Arial"/>
      <w:sz w:val="22"/>
      <w:szCs w:val="22"/>
      <w:lang w:eastAsia="en-GB"/>
    </w:rPr>
  </w:style>
  <w:style w:type="character" w:styleId="Heading3Char" w:customStyle="1">
    <w:name w:val="Heading 3 Char"/>
    <w:basedOn w:val="DefaultParagraphFont"/>
    <w:link w:val="Heading3"/>
    <w:uiPriority w:val="9"/>
    <w:semiHidden w:val="1"/>
    <w:rsid w:val="00A66B47"/>
    <w:rPr>
      <w:rFonts w:asciiTheme="majorHAnsi" w:cstheme="majorBidi" w:eastAsiaTheme="majorEastAsia" w:hAnsiTheme="majorHAnsi"/>
      <w:color w:val="1f3763" w:themeColor="accent1" w:themeShade="00007F"/>
      <w:lang w:eastAsia="en-GB"/>
    </w:rPr>
  </w:style>
  <w:style w:type="table" w:styleId="TableGrid1" w:customStyle="1">
    <w:name w:val="Table Grid1"/>
    <w:basedOn w:val="TableNormal"/>
    <w:next w:val="TableGrid"/>
    <w:uiPriority w:val="59"/>
    <w:rsid w:val="005C6147"/>
    <w:pPr>
      <w:pBdr>
        <w:top w:space="0" w:sz="0" w:val="nil"/>
        <w:left w:space="0" w:sz="0" w:val="nil"/>
        <w:bottom w:space="0" w:sz="0" w:val="nil"/>
        <w:right w:space="0" w:sz="0" w:val="nil"/>
        <w:between w:space="0" w:sz="0" w:val="nil"/>
      </w:pBdr>
    </w:pPr>
    <w:rPr>
      <w:color w:val="000000"/>
      <w:lang w:val="e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0"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1"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2"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3"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4"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aso.org.uk/news-item/taso-launches-report-on-attainment-raising/" TargetMode="External"/><Relationship Id="rId10" Type="http://schemas.openxmlformats.org/officeDocument/2006/relationships/hyperlink" Target="https://taso.org.uk/evidence/toolkit/what-is-causal-evidence/" TargetMode="External"/><Relationship Id="rId13" Type="http://schemas.openxmlformats.org/officeDocument/2006/relationships/hyperlink" Target="https://taso.org.uk/taso-privacy-notice/" TargetMode="External"/><Relationship Id="rId12" Type="http://schemas.openxmlformats.org/officeDocument/2006/relationships/hyperlink" Target="https://taso.org.uk/taso-privacy-not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uk/guidance/what-works-network" TargetMode="Externa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taso.org.uk/news-item/taso-launches-report-on-attainment-rais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7YsidM4qSSFrxEAOJJ9nY1t9Bw==">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2021-02-01T18:46:00Z</dcterms:created>
  <dc:creator>Rain Sherlock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