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b66bc"/>
          <w:sz w:val="40"/>
          <w:szCs w:val="40"/>
          <w:highlight w:val="white"/>
        </w:rPr>
      </w:pPr>
      <w:bookmarkStart w:colFirst="0" w:colLast="0" w:name="_heading=h.ighkzbickhqz" w:id="0"/>
      <w:bookmarkEnd w:id="0"/>
      <w:r w:rsidDel="00000000" w:rsidR="00000000" w:rsidRPr="00000000">
        <w:rPr>
          <w:b w:val="1"/>
          <w:color w:val="3b66bc"/>
          <w:sz w:val="40"/>
          <w:szCs w:val="40"/>
          <w:highlight w:val="white"/>
          <w:rtl w:val="0"/>
        </w:rPr>
        <w:t xml:space="preserve">Ethnicity degree awarding gaps: Theory of Change development</w:t>
      </w:r>
    </w:p>
    <w:p w:rsidR="00000000" w:rsidDel="00000000" w:rsidP="00000000" w:rsidRDefault="00000000" w:rsidRPr="00000000" w14:paraId="00000002">
      <w:pPr>
        <w:rPr>
          <w:color w:val="000000"/>
          <w:highlight w:val="white"/>
        </w:rPr>
      </w:pPr>
      <w:r w:rsidDel="00000000" w:rsidR="00000000" w:rsidRPr="00000000">
        <w:rPr>
          <w:highlight w:val="white"/>
          <w:rtl w:val="0"/>
        </w:rPr>
        <w:t xml:space="preserve">June 2023</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spacing w:before="120" w:lineRule="auto"/>
        <w:rPr>
          <w:color w:val="3b66bc"/>
          <w:sz w:val="24"/>
          <w:szCs w:val="24"/>
        </w:rPr>
      </w:pPr>
      <w:bookmarkStart w:colFirst="0" w:colLast="0" w:name="_heading=h.w1kblnku4cla" w:id="1"/>
      <w:bookmarkEnd w:id="1"/>
      <w:r w:rsidDel="00000000" w:rsidR="00000000" w:rsidRPr="00000000">
        <w:rPr>
          <w:color w:val="3b66bc"/>
          <w:sz w:val="22"/>
          <w:szCs w:val="22"/>
          <w:rtl w:val="0"/>
        </w:rPr>
        <w:t xml:space="preserve">Open call for higher education (HE) providers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Centre for Transforming Access and Student Outcomes in Higher Education (TASO) is calling for higher education providers (HEPs) interested in receiving evaluation support to develop Theories of Change (ToCs) for interventions aimed at addressing the ethnicity degree awarding gap. HEPs will be matched up with an independent evaluator to receive funded independent evaluation support.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TASO will publish these ToCs as prototypes for the sector to use. It is an opportunity for participating HEPs to build internal evaluation expertise specifically in relation to designing high-quality ToCs, and contribute towards TASO’s ambition to support better evaluation of interventions addressing the ethnicity degree awarding gap.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3b66bc"/>
        </w:rPr>
      </w:pPr>
      <w:r w:rsidDel="00000000" w:rsidR="00000000" w:rsidRPr="00000000">
        <w:rPr>
          <w:b w:val="1"/>
          <w:color w:val="3b66bc"/>
          <w:rtl w:val="0"/>
        </w:rPr>
        <w:t xml:space="preserve">Introduction to TASO </w:t>
      </w:r>
    </w:p>
    <w:p w:rsidR="00000000" w:rsidDel="00000000" w:rsidP="00000000" w:rsidRDefault="00000000" w:rsidRPr="00000000" w14:paraId="0000000A">
      <w:pPr>
        <w:rPr/>
      </w:pPr>
      <w:r w:rsidDel="00000000" w:rsidR="00000000" w:rsidRPr="00000000">
        <w:rPr>
          <w:rtl w:val="0"/>
        </w:rPr>
        <w:t xml:space="preserve">TASO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w:t>
      </w:r>
    </w:p>
    <w:p w:rsidR="00000000" w:rsidDel="00000000" w:rsidP="00000000" w:rsidRDefault="00000000" w:rsidRPr="00000000" w14:paraId="0000000B">
      <w:pPr>
        <w:rPr>
          <w:color w:val="0e101a"/>
        </w:rPr>
      </w:pPr>
      <w:r w:rsidDel="00000000" w:rsidR="00000000" w:rsidRPr="00000000">
        <w:rPr>
          <w:rtl w:val="0"/>
        </w:rPr>
        <w:br w:type="textWrapping"/>
      </w:r>
      <w:r w:rsidDel="00000000" w:rsidR="00000000" w:rsidRPr="00000000">
        <w:rPr>
          <w:color w:val="0e101a"/>
          <w:rtl w:val="0"/>
        </w:rPr>
        <w:t xml:space="preserve">TASO is an affiliate ‘What Works’ centre and is part of the </w:t>
      </w:r>
      <w:hyperlink r:id="rId7">
        <w:r w:rsidDel="00000000" w:rsidR="00000000" w:rsidRPr="00000000">
          <w:rPr>
            <w:color w:val="0563c1"/>
            <w:u w:val="single"/>
            <w:rtl w:val="0"/>
          </w:rPr>
          <w:t xml:space="preserve">UK Government’s What Works Movement.</w:t>
        </w:r>
      </w:hyperlink>
      <w:r w:rsidDel="00000000" w:rsidR="00000000" w:rsidRPr="00000000">
        <w:rPr>
          <w:color w:val="0563c1"/>
          <w:rtl w:val="0"/>
        </w:rPr>
        <w:t xml:space="preserve"> </w:t>
      </w:r>
      <w:r w:rsidDel="00000000" w:rsidR="00000000" w:rsidRPr="00000000">
        <w:rPr>
          <w:color w:val="0e101a"/>
          <w:rtl w:val="0"/>
        </w:rPr>
        <w:t xml:space="preserve">This means that TASO is committed to the generation, synthesis and dissemination of high-quality evidence about effective practice in widening participation and student success. </w:t>
      </w:r>
    </w:p>
    <w:p w:rsidR="00000000" w:rsidDel="00000000" w:rsidP="00000000" w:rsidRDefault="00000000" w:rsidRPr="00000000" w14:paraId="0000000C">
      <w:pPr>
        <w:rPr>
          <w:color w:val="0e101a"/>
        </w:rPr>
      </w:pPr>
      <w:r w:rsidDel="00000000" w:rsidR="00000000" w:rsidRPr="00000000">
        <w:rPr>
          <w:rtl w:val="0"/>
        </w:rPr>
      </w:r>
    </w:p>
    <w:p w:rsidR="00000000" w:rsidDel="00000000" w:rsidP="00000000" w:rsidRDefault="00000000" w:rsidRPr="00000000" w14:paraId="0000000D">
      <w:pPr>
        <w:rPr>
          <w:color w:val="0e101a"/>
        </w:rPr>
      </w:pPr>
      <w:r w:rsidDel="00000000" w:rsidR="00000000" w:rsidRPr="00000000">
        <w:rPr>
          <w:b w:val="1"/>
          <w:color w:val="3b66bc"/>
          <w:rtl w:val="0"/>
        </w:rPr>
        <w:t xml:space="preserve">Background</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TASO recently commissioned Staffordshire University to produce a typology of approaches being delivered in the HE sector to tackle the ethnicity degree awarding gap. This gap refers to the significant difference in the proportions of students from marginalised ethnic backgrounds being awarded a first or upper-second class undergraduate degree when compared to </w:t>
      </w:r>
      <w:r w:rsidDel="00000000" w:rsidR="00000000" w:rsidRPr="00000000">
        <w:rPr>
          <w:rtl w:val="0"/>
        </w:rPr>
        <w:t xml:space="preserve">White students</w:t>
      </w:r>
      <w:r w:rsidDel="00000000" w:rsidR="00000000" w:rsidRPr="00000000">
        <w:rPr>
          <w:rtl w:val="0"/>
        </w:rPr>
        <w:t xml:space="preserve">. The project involved analysis of Access and Participation Plans (APPs) to understand what is being delivered and evaluated, in addition to interviews with sector stakeholders to provide important context to the activities </w:t>
      </w:r>
      <w:r w:rsidDel="00000000" w:rsidR="00000000" w:rsidRPr="00000000">
        <w:rPr>
          <w:rtl w:val="0"/>
        </w:rPr>
        <w:t xml:space="preserve">that</w:t>
      </w:r>
      <w:r w:rsidDel="00000000" w:rsidR="00000000" w:rsidRPr="00000000">
        <w:rPr>
          <w:rtl w:val="0"/>
        </w:rPr>
        <w:t xml:space="preserve"> have </w:t>
      </w:r>
      <w:r w:rsidDel="00000000" w:rsidR="00000000" w:rsidRPr="00000000">
        <w:rPr>
          <w:rtl w:val="0"/>
        </w:rPr>
        <w:t xml:space="preserve">been undertaken</w:t>
      </w:r>
      <w:r w:rsidDel="00000000" w:rsidR="00000000" w:rsidRPr="00000000">
        <w:rPr>
          <w:rtl w:val="0"/>
        </w:rPr>
        <w:t xml:space="preserve">. Findings from this project have been published in a </w:t>
      </w:r>
      <w:hyperlink r:id="rId8">
        <w:r w:rsidDel="00000000" w:rsidR="00000000" w:rsidRPr="00000000">
          <w:rPr>
            <w:color w:val="1155cc"/>
            <w:u w:val="single"/>
            <w:rtl w:val="0"/>
          </w:rPr>
          <w:t xml:space="preserve">report</w:t>
        </w:r>
      </w:hyperlink>
      <w:r w:rsidDel="00000000" w:rsidR="00000000" w:rsidRPr="00000000">
        <w:rPr>
          <w:rtl w:val="0"/>
        </w:rPr>
        <w:t xml:space="preserve">, which also details key recommendations.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Of APPs which had targets to reduce the ethnicity degree awarding gap, approximately two thirds (N=43) did not include a ToC within their APP. Of those that did, a large proportion (N=30) were inadequately detailed - it was unclear how the intervention would ultimately lead to a reduction in the gap. Consequently, a key recommendation from the report is that providers  develop robust ToCs with clearly articulated mechanisms of change linking activities to desired outcomes.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color w:val="3b66bc"/>
        </w:rPr>
      </w:pPr>
      <w:r w:rsidDel="00000000" w:rsidR="00000000" w:rsidRPr="00000000">
        <w:rPr>
          <w:b w:val="1"/>
          <w:color w:val="3b66bc"/>
          <w:rtl w:val="0"/>
        </w:rPr>
        <w:t xml:space="preserve">Scope</w:t>
      </w:r>
    </w:p>
    <w:p w:rsidR="00000000" w:rsidDel="00000000" w:rsidP="00000000" w:rsidRDefault="00000000" w:rsidRPr="00000000" w14:paraId="00000013">
      <w:pPr>
        <w:rPr/>
      </w:pPr>
      <w:r w:rsidDel="00000000" w:rsidR="00000000" w:rsidRPr="00000000">
        <w:rPr>
          <w:rtl w:val="0"/>
        </w:rPr>
        <w:t xml:space="preserve">TASO will fund an independent evaluator from the </w:t>
      </w:r>
      <w:hyperlink r:id="rId9">
        <w:r w:rsidDel="00000000" w:rsidR="00000000" w:rsidRPr="00000000">
          <w:rPr>
            <w:color w:val="1155cc"/>
            <w:u w:val="single"/>
            <w:rtl w:val="0"/>
          </w:rPr>
          <w:t xml:space="preserve">Panel of Evaluators</w:t>
        </w:r>
      </w:hyperlink>
      <w:r w:rsidDel="00000000" w:rsidR="00000000" w:rsidRPr="00000000">
        <w:rPr>
          <w:rtl w:val="0"/>
        </w:rPr>
        <w:t xml:space="preserve"> to work with HEPs and develop </w:t>
      </w:r>
      <w:hyperlink r:id="rId10">
        <w:r w:rsidDel="00000000" w:rsidR="00000000" w:rsidRPr="00000000">
          <w:rPr>
            <w:color w:val="1155cc"/>
            <w:u w:val="single"/>
            <w:rtl w:val="0"/>
          </w:rPr>
          <w:t xml:space="preserve">Core and Enhanced ToCs</w:t>
        </w:r>
      </w:hyperlink>
      <w:r w:rsidDel="00000000" w:rsidR="00000000" w:rsidRPr="00000000">
        <w:rPr>
          <w:rtl w:val="0"/>
        </w:rPr>
        <w:t xml:space="preserve"> for interventions to address the ethnicity degree awarding gap. Once developed, these ToCs will be published and accessible for the wider sector to use. The independent evaluator will also build a concrete evaluation plan for each intervention, including recommendations on design, methodology, and data indicators that map onto the ToC.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aforementioned report identified 16 broad approach types addressing the ethnicity degree awarding gap, as outlined in the table below. We welcome submissions for interventions that are not mentioned but will prioritise widely used interventions and ensure that a range of approaches are chosen. </w:t>
      </w:r>
    </w:p>
    <w:p w:rsidR="00000000" w:rsidDel="00000000" w:rsidP="00000000" w:rsidRDefault="00000000" w:rsidRPr="00000000" w14:paraId="00000016">
      <w:pPr>
        <w:rPr/>
      </w:pPr>
      <w:r w:rsidDel="00000000" w:rsidR="00000000" w:rsidRPr="00000000">
        <w:rPr>
          <w:rtl w:val="0"/>
        </w:rPr>
      </w:r>
    </w:p>
    <w:bookmarkStart w:colFirst="0" w:colLast="0" w:name="bookmark=id.exb9ipaiy026" w:id="2"/>
    <w:bookmarkEnd w:id="2"/>
    <w:p w:rsidR="00000000" w:rsidDel="00000000" w:rsidP="00000000" w:rsidRDefault="00000000" w:rsidRPr="00000000" w14:paraId="00000017">
      <w:pPr>
        <w:rPr>
          <w:i w:val="1"/>
          <w:color w:val="4472c4"/>
          <w:sz w:val="20"/>
          <w:szCs w:val="20"/>
        </w:rPr>
      </w:pPr>
      <w:r w:rsidDel="00000000" w:rsidR="00000000" w:rsidRPr="00000000">
        <w:rPr>
          <w:i w:val="1"/>
          <w:color w:val="4472c4"/>
          <w:sz w:val="20"/>
          <w:szCs w:val="20"/>
          <w:rtl w:val="0"/>
        </w:rPr>
        <w:t xml:space="preserve">Table 1. Approaches identified which aim to address the ethnicity degree awarding gap.</w:t>
      </w:r>
    </w:p>
    <w:tbl>
      <w:tblPr>
        <w:tblStyle w:val="Table1"/>
        <w:tblW w:w="93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6"/>
        <w:gridCol w:w="6974"/>
        <w:tblGridChange w:id="0">
          <w:tblGrid>
            <w:gridCol w:w="2366"/>
            <w:gridCol w:w="697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4472c4" w:val="clear"/>
            <w:tcMar>
              <w:top w:w="100.0" w:type="dxa"/>
              <w:left w:w="100.0" w:type="dxa"/>
              <w:bottom w:w="100.0" w:type="dxa"/>
              <w:right w:w="100.0" w:type="dxa"/>
            </w:tcMar>
          </w:tcPr>
          <w:p w:rsidR="00000000" w:rsidDel="00000000" w:rsidP="00000000" w:rsidRDefault="00000000" w:rsidRPr="00000000" w14:paraId="00000018">
            <w:pPr>
              <w:spacing w:line="240" w:lineRule="auto"/>
              <w:rPr>
                <w:rFonts w:ascii="Times New Roman" w:cs="Times New Roman" w:eastAsia="Times New Roman" w:hAnsi="Times New Roman"/>
                <w:color w:val="ffffff"/>
              </w:rPr>
            </w:pPr>
            <w:r w:rsidDel="00000000" w:rsidR="00000000" w:rsidRPr="00000000">
              <w:rPr>
                <w:b w:val="1"/>
                <w:color w:val="ffffff"/>
                <w:rtl w:val="0"/>
              </w:rPr>
              <w:t xml:space="preserve">Approach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4472c4" w:val="clear"/>
            <w:tcMar>
              <w:top w:w="100.0" w:type="dxa"/>
              <w:left w:w="100.0" w:type="dxa"/>
              <w:bottom w:w="100.0" w:type="dxa"/>
              <w:right w:w="100.0" w:type="dxa"/>
            </w:tcMar>
          </w:tcPr>
          <w:p w:rsidR="00000000" w:rsidDel="00000000" w:rsidP="00000000" w:rsidRDefault="00000000" w:rsidRPr="00000000" w14:paraId="00000019">
            <w:pPr>
              <w:spacing w:line="240" w:lineRule="auto"/>
              <w:rPr>
                <w:rFonts w:ascii="Times New Roman" w:cs="Times New Roman" w:eastAsia="Times New Roman" w:hAnsi="Times New Roman"/>
                <w:color w:val="ffffff"/>
              </w:rPr>
            </w:pPr>
            <w:r w:rsidDel="00000000" w:rsidR="00000000" w:rsidRPr="00000000">
              <w:rPr>
                <w:b w:val="1"/>
                <w:color w:val="ffffff"/>
                <w:rtl w:val="0"/>
              </w:rPr>
              <w:t xml:space="preserve">Description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color w:val="000000"/>
                <w:rtl w:val="0"/>
              </w:rPr>
              <w:t xml:space="preserve">Adapting assessment practice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color w:val="000000"/>
                <w:rtl w:val="0"/>
              </w:rPr>
              <w:t xml:space="preserve">Reforming the assessment format or assessment processes.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color w:val="000000"/>
                <w:rtl w:val="0"/>
              </w:rPr>
              <w:t xml:space="preserve">Raising awareness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color w:val="000000"/>
                <w:rtl w:val="0"/>
              </w:rPr>
              <w:t xml:space="preserve">Workshops and sessions to develop staff understanding of the awarding gaps and/or aspects of inequality faced by students.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color w:val="000000"/>
                <w:rtl w:val="0"/>
              </w:rPr>
              <w:t xml:space="preserve">Developing curricula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color w:val="000000"/>
                <w:rtl w:val="0"/>
              </w:rPr>
              <w:t xml:space="preserve">Reforming the curriculum, including inclusive curricula and decolonising reading lists.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color w:val="000000"/>
                <w:rtl w:val="0"/>
              </w:rPr>
              <w:t xml:space="preserve">Running events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color w:val="000000"/>
                <w:rtl w:val="0"/>
              </w:rPr>
              <w:t xml:space="preserve">Extra-curricular events for students.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color w:val="000000"/>
                <w:rtl w:val="0"/>
              </w:rPr>
              <w:t xml:space="preserve">Modifying leadership practice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color w:val="000000"/>
                <w:rtl w:val="0"/>
              </w:rPr>
              <w:t xml:space="preserve">Senior leadership teams adapting leadership structures and/or culture.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color w:val="000000"/>
                <w:rtl w:val="0"/>
              </w:rPr>
              <w:t xml:space="preserve">Using and developing learning analytics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color w:val="000000"/>
                <w:rtl w:val="0"/>
              </w:rPr>
              <w:t xml:space="preserve">Collecting, interrogating, and/or presenting quantitative data on the nature and extent of the awarding gap.</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color w:val="000000"/>
                <w:rtl w:val="0"/>
              </w:rPr>
              <w:t xml:space="preserve">Providing peer learning and mentoring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color w:val="000000"/>
                <w:rtl w:val="0"/>
              </w:rPr>
              <w:t xml:space="preserve">Students supporting students as mentors, or learning from each other.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color w:val="000000"/>
                <w:rtl w:val="0"/>
              </w:rPr>
              <w:t xml:space="preserve">Incorporating personalised support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color w:val="000000"/>
                <w:rtl w:val="0"/>
              </w:rPr>
              <w:t xml:space="preserve">Staff supporting students through one-to-one activities, including coaching, mentoring, or tutoring.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color w:val="000000"/>
                <w:rtl w:val="0"/>
              </w:rPr>
              <w:t xml:space="preserve">Recruiting staff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color w:val="000000"/>
                <w:rtl w:val="0"/>
              </w:rPr>
              <w:t xml:space="preserve">Staff recruitment drives, typically to recruit staff from more ethnically diverse backgrounds.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color w:val="000000"/>
                <w:rtl w:val="0"/>
              </w:rPr>
              <w:t xml:space="preserve">Building knowledge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color w:val="000000"/>
                <w:rtl w:val="0"/>
              </w:rPr>
              <w:t xml:space="preserve">Undertaking research, evaluation, or other activities to build providers’ knowledge and understanding around the</w:t>
            </w:r>
            <w:r w:rsidDel="00000000" w:rsidR="00000000" w:rsidRPr="00000000">
              <w:rPr>
                <w:rtl w:val="0"/>
              </w:rPr>
              <w:t xml:space="preserve"> ethnicity degree awarding gap</w:t>
            </w:r>
            <w:r w:rsidDel="00000000" w:rsidR="00000000" w:rsidRPr="00000000">
              <w:rPr>
                <w:color w:val="000000"/>
                <w:rtl w:val="0"/>
              </w:rPr>
              <w:t xml:space="preserve"> (are distinct from learning analytics).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color w:val="000000"/>
                <w:rtl w:val="0"/>
              </w:rPr>
              <w:t xml:space="preserve">Producing resources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color w:val="000000"/>
                <w:rtl w:val="0"/>
              </w:rPr>
              <w:t xml:space="preserve">Developing guides for staff and/or students.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color w:val="000000"/>
                <w:rtl w:val="0"/>
              </w:rPr>
              <w:t xml:space="preserve">Developing staff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color w:val="000000"/>
                <w:rtl w:val="0"/>
              </w:rPr>
              <w:t xml:space="preserve">Events and activities to support staff skill development.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color w:val="000000"/>
                <w:rtl w:val="0"/>
              </w:rPr>
              <w:t xml:space="preserve">Adapting structural processes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color w:val="000000"/>
                <w:rtl w:val="0"/>
              </w:rPr>
              <w:t xml:space="preserve">Developing the physical and policy structure of the provider.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color w:val="000000"/>
                <w:rtl w:val="0"/>
              </w:rPr>
              <w:t xml:space="preserve">Supporting students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color w:val="000000"/>
                <w:rtl w:val="0"/>
              </w:rPr>
              <w:t xml:space="preserve">Specific sessions or staff made available to support students (e.g. workshops, tutorials). These are distinct from personalised support as they are not tailored to specific students.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color w:val="000000"/>
                <w:rtl w:val="0"/>
              </w:rPr>
              <w:t xml:space="preserve">Training students as allies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color w:val="000000"/>
                <w:rtl w:val="0"/>
              </w:rPr>
              <w:t xml:space="preserve">Awareness raising in the student population, including training.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color w:val="000000"/>
                <w:rtl w:val="0"/>
              </w:rPr>
              <w:t xml:space="preserve">Harnessing student voice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color w:val="000000"/>
                <w:rtl w:val="0"/>
              </w:rPr>
              <w:t xml:space="preserve">Seeking and using student feedback in organisational discussions and/or decisions.</w:t>
            </w:r>
            <w:r w:rsidDel="00000000" w:rsidR="00000000" w:rsidRPr="00000000">
              <w:rPr>
                <w:rtl w:val="0"/>
              </w:rPr>
            </w:r>
          </w:p>
        </w:tc>
      </w:tr>
    </w:tbl>
    <w:p w:rsidR="00000000" w:rsidDel="00000000" w:rsidP="00000000" w:rsidRDefault="00000000" w:rsidRPr="00000000" w14:paraId="0000003A">
      <w:pPr>
        <w:rPr>
          <w:b w:val="1"/>
          <w:color w:val="3b66bc"/>
          <w:sz w:val="24"/>
          <w:szCs w:val="24"/>
        </w:rPr>
      </w:pPr>
      <w:r w:rsidDel="00000000" w:rsidR="00000000" w:rsidRPr="00000000">
        <w:rPr>
          <w:rtl w:val="0"/>
        </w:rPr>
      </w:r>
    </w:p>
    <w:p w:rsidR="00000000" w:rsidDel="00000000" w:rsidP="00000000" w:rsidRDefault="00000000" w:rsidRPr="00000000" w14:paraId="0000003B">
      <w:pPr>
        <w:rPr>
          <w:b w:val="1"/>
          <w:color w:val="3b66bc"/>
        </w:rPr>
      </w:pPr>
      <w:r w:rsidDel="00000000" w:rsidR="00000000" w:rsidRPr="00000000">
        <w:rPr>
          <w:b w:val="1"/>
          <w:color w:val="3b66bc"/>
          <w:rtl w:val="0"/>
        </w:rPr>
        <w:t xml:space="preserve">Expectations for participating HEPs</w:t>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TASO will select up to six proposals. </w:t>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We are simultaneously issuing a call to our independent Panel of Evaluators who will be invited to bid for the provision of evaluation support (funded by TASO).</w:t>
      </w:r>
    </w:p>
    <w:p w:rsidR="00000000" w:rsidDel="00000000" w:rsidP="00000000" w:rsidRDefault="00000000" w:rsidRPr="00000000" w14:paraId="0000003E">
      <w:pPr>
        <w:numPr>
          <w:ilvl w:val="0"/>
          <w:numId w:val="4"/>
        </w:numPr>
        <w:ind w:left="720" w:hanging="360"/>
        <w:rPr/>
      </w:pPr>
      <w:r w:rsidDel="00000000" w:rsidR="00000000" w:rsidRPr="00000000">
        <w:rPr>
          <w:rtl w:val="0"/>
        </w:rPr>
        <w:t xml:space="preserve">Evaluation support from independent evaluators will take place over a three-month period from September to November 2023.</w:t>
      </w:r>
    </w:p>
    <w:p w:rsidR="00000000" w:rsidDel="00000000" w:rsidP="00000000" w:rsidRDefault="00000000" w:rsidRPr="00000000" w14:paraId="0000003F">
      <w:pPr>
        <w:numPr>
          <w:ilvl w:val="0"/>
          <w:numId w:val="4"/>
        </w:numPr>
        <w:ind w:left="720" w:hanging="360"/>
        <w:rPr/>
      </w:pPr>
      <w:r w:rsidDel="00000000" w:rsidR="00000000" w:rsidRPr="00000000">
        <w:rPr>
          <w:rtl w:val="0"/>
        </w:rPr>
        <w:t xml:space="preserve">Successful HEPs will work directly with TASO and an independent evaluator from the panel to develop the ToC. </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Successful HEPs will be expected to commit time and resourcing to the ToC development, including through meetings, workshops and reviewing of outputs. Table 2 details how project activities and responsibilities will be split across the three organisations involved in the project. </w:t>
      </w:r>
    </w:p>
    <w:p w:rsidR="00000000" w:rsidDel="00000000" w:rsidP="00000000" w:rsidRDefault="00000000" w:rsidRPr="00000000" w14:paraId="00000041">
      <w:pPr>
        <w:spacing w:after="100" w:before="60" w:line="264" w:lineRule="auto"/>
        <w:ind w:right="100"/>
        <w:rPr/>
      </w:pPr>
      <w:r w:rsidDel="00000000" w:rsidR="00000000" w:rsidRPr="00000000">
        <w:rPr>
          <w:rtl w:val="0"/>
        </w:rPr>
      </w:r>
    </w:p>
    <w:bookmarkStart w:colFirst="0" w:colLast="0" w:name="bookmark=id.i5gxoba75ncp" w:id="3"/>
    <w:bookmarkEnd w:id="3"/>
    <w:p w:rsidR="00000000" w:rsidDel="00000000" w:rsidP="00000000" w:rsidRDefault="00000000" w:rsidRPr="00000000" w14:paraId="00000042">
      <w:pPr>
        <w:spacing w:after="100" w:before="60" w:line="264" w:lineRule="auto"/>
        <w:ind w:right="100"/>
        <w:rPr>
          <w:i w:val="1"/>
          <w:color w:val="4472c4"/>
          <w:sz w:val="20"/>
          <w:szCs w:val="20"/>
        </w:rPr>
      </w:pPr>
      <w:r w:rsidDel="00000000" w:rsidR="00000000" w:rsidRPr="00000000">
        <w:rPr>
          <w:i w:val="1"/>
          <w:color w:val="4472c4"/>
          <w:sz w:val="20"/>
          <w:szCs w:val="20"/>
          <w:rtl w:val="0"/>
        </w:rPr>
        <w:t xml:space="preserve">Table 2. Partner responsibilities</w:t>
      </w:r>
    </w:p>
    <w:tbl>
      <w:tblPr>
        <w:tblStyle w:val="Table2"/>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810"/>
        <w:gridCol w:w="1695"/>
        <w:gridCol w:w="1815"/>
        <w:gridCol w:w="1695"/>
        <w:tblGridChange w:id="0">
          <w:tblGrid>
            <w:gridCol w:w="3810"/>
            <w:gridCol w:w="1695"/>
            <w:gridCol w:w="1815"/>
            <w:gridCol w:w="1695"/>
          </w:tblGrid>
        </w:tblGridChange>
      </w:tblGrid>
      <w:tr>
        <w:trPr>
          <w:cantSplit w:val="0"/>
          <w:trHeight w:val="545" w:hRule="atLeast"/>
          <w:tblHeader w:val="0"/>
        </w:trPr>
        <w:tc>
          <w:tcPr>
            <w:shd w:fill="4472c4" w:val="clear"/>
            <w:tcMar>
              <w:top w:w="100.0" w:type="dxa"/>
              <w:left w:w="100.0" w:type="dxa"/>
              <w:bottom w:w="100.0" w:type="dxa"/>
              <w:right w:w="100.0" w:type="dxa"/>
            </w:tcMar>
          </w:tcPr>
          <w:p w:rsidR="00000000" w:rsidDel="00000000" w:rsidP="00000000" w:rsidRDefault="00000000" w:rsidRPr="00000000" w14:paraId="00000043">
            <w:pPr>
              <w:rPr>
                <w:color w:val="ffffff"/>
              </w:rPr>
            </w:pPr>
            <w:r w:rsidDel="00000000" w:rsidR="00000000" w:rsidRPr="00000000">
              <w:rPr>
                <w:color w:val="ffffff"/>
                <w:rtl w:val="0"/>
              </w:rPr>
              <w:t xml:space="preserve"> </w:t>
            </w:r>
          </w:p>
        </w:tc>
        <w:tc>
          <w:tcPr>
            <w:shd w:fill="4472c4" w:val="clear"/>
            <w:tcMar>
              <w:top w:w="100.0" w:type="dxa"/>
              <w:left w:w="100.0" w:type="dxa"/>
              <w:bottom w:w="100.0" w:type="dxa"/>
              <w:right w:w="100.0" w:type="dxa"/>
            </w:tcMar>
          </w:tcPr>
          <w:p w:rsidR="00000000" w:rsidDel="00000000" w:rsidP="00000000" w:rsidRDefault="00000000" w:rsidRPr="00000000" w14:paraId="00000044">
            <w:pPr>
              <w:jc w:val="center"/>
              <w:rPr>
                <w:b w:val="1"/>
                <w:color w:val="ffffff"/>
              </w:rPr>
            </w:pPr>
            <w:r w:rsidDel="00000000" w:rsidR="00000000" w:rsidRPr="00000000">
              <w:rPr>
                <w:b w:val="1"/>
                <w:color w:val="ffffff"/>
                <w:rtl w:val="0"/>
              </w:rPr>
              <w:t xml:space="preserve">HEP</w:t>
            </w:r>
          </w:p>
        </w:tc>
        <w:tc>
          <w:tcPr>
            <w:shd w:fill="4472c4" w:val="clear"/>
            <w:tcMar>
              <w:top w:w="100.0" w:type="dxa"/>
              <w:left w:w="100.0" w:type="dxa"/>
              <w:bottom w:w="100.0" w:type="dxa"/>
              <w:right w:w="100.0" w:type="dxa"/>
            </w:tcMar>
          </w:tcPr>
          <w:p w:rsidR="00000000" w:rsidDel="00000000" w:rsidP="00000000" w:rsidRDefault="00000000" w:rsidRPr="00000000" w14:paraId="00000045">
            <w:pPr>
              <w:jc w:val="center"/>
              <w:rPr>
                <w:b w:val="1"/>
                <w:color w:val="ffffff"/>
              </w:rPr>
            </w:pPr>
            <w:r w:rsidDel="00000000" w:rsidR="00000000" w:rsidRPr="00000000">
              <w:rPr>
                <w:b w:val="1"/>
                <w:color w:val="ffffff"/>
                <w:rtl w:val="0"/>
              </w:rPr>
              <w:t xml:space="preserve">Independent evaluator</w:t>
            </w:r>
          </w:p>
        </w:tc>
        <w:tc>
          <w:tcPr>
            <w:shd w:fill="4472c4" w:val="clear"/>
            <w:tcMar>
              <w:top w:w="100.0" w:type="dxa"/>
              <w:left w:w="100.0" w:type="dxa"/>
              <w:bottom w:w="100.0" w:type="dxa"/>
              <w:right w:w="100.0" w:type="dxa"/>
            </w:tcMar>
          </w:tcPr>
          <w:p w:rsidR="00000000" w:rsidDel="00000000" w:rsidP="00000000" w:rsidRDefault="00000000" w:rsidRPr="00000000" w14:paraId="00000046">
            <w:pPr>
              <w:jc w:val="center"/>
              <w:rPr>
                <w:b w:val="1"/>
                <w:color w:val="ffffff"/>
              </w:rPr>
            </w:pPr>
            <w:r w:rsidDel="00000000" w:rsidR="00000000" w:rsidRPr="00000000">
              <w:rPr>
                <w:b w:val="1"/>
                <w:color w:val="ffffff"/>
                <w:rtl w:val="0"/>
              </w:rPr>
              <w:t xml:space="preserve">TASO</w:t>
            </w:r>
          </w:p>
        </w:tc>
      </w:tr>
      <w:tr>
        <w:trPr>
          <w:cantSplit w:val="0"/>
          <w:trHeight w:val="403" w:hRule="atLeast"/>
          <w:tblHeader w:val="0"/>
        </w:trPr>
        <w:tc>
          <w:tcPr>
            <w:tcMar>
              <w:top w:w="100.0" w:type="dxa"/>
              <w:left w:w="100.0" w:type="dxa"/>
              <w:bottom w:w="100.0" w:type="dxa"/>
              <w:right w:w="100.0" w:type="dxa"/>
            </w:tcMar>
          </w:tcPr>
          <w:p w:rsidR="00000000" w:rsidDel="00000000" w:rsidP="00000000" w:rsidRDefault="00000000" w:rsidRPr="00000000" w14:paraId="00000047">
            <w:pPr>
              <w:rPr>
                <w:color w:val="0e101a"/>
              </w:rPr>
            </w:pPr>
            <w:r w:rsidDel="00000000" w:rsidR="00000000" w:rsidRPr="00000000">
              <w:rPr>
                <w:color w:val="0e101a"/>
                <w:rtl w:val="0"/>
              </w:rPr>
              <w:t xml:space="preserve">Contract management </w:t>
            </w:r>
          </w:p>
        </w:tc>
        <w:tc>
          <w:tcPr>
            <w:tcMar>
              <w:top w:w="100.0" w:type="dxa"/>
              <w:left w:w="100.0" w:type="dxa"/>
              <w:bottom w:w="100.0" w:type="dxa"/>
              <w:right w:w="100.0" w:type="dxa"/>
            </w:tcMar>
          </w:tcPr>
          <w:p w:rsidR="00000000" w:rsidDel="00000000" w:rsidP="00000000" w:rsidRDefault="00000000" w:rsidRPr="00000000" w14:paraId="00000048">
            <w:pPr>
              <w:jc w:val="center"/>
              <w:rPr>
                <w:color w:val="0e101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9">
            <w:pPr>
              <w:jc w:val="center"/>
              <w:rPr>
                <w:color w:val="0e101a"/>
              </w:rPr>
            </w:pPr>
            <w:r w:rsidDel="00000000" w:rsidR="00000000" w:rsidRPr="00000000">
              <w:rPr>
                <w:color w:val="0e101a"/>
                <w:rtl w:val="0"/>
              </w:rPr>
              <w:t xml:space="preserve"> </w:t>
            </w:r>
          </w:p>
        </w:tc>
        <w:tc>
          <w:tcPr>
            <w:tcMar>
              <w:top w:w="100.0" w:type="dxa"/>
              <w:left w:w="100.0" w:type="dxa"/>
              <w:bottom w:w="100.0" w:type="dxa"/>
              <w:right w:w="100.0" w:type="dxa"/>
            </w:tcMar>
          </w:tcPr>
          <w:p w:rsidR="00000000" w:rsidDel="00000000" w:rsidP="00000000" w:rsidRDefault="00000000" w:rsidRPr="00000000" w14:paraId="0000004A">
            <w:pPr>
              <w:jc w:val="center"/>
              <w:rPr>
                <w:color w:val="0e101a"/>
              </w:rPr>
            </w:pPr>
            <w:r w:rsidDel="00000000" w:rsidR="00000000" w:rsidRPr="00000000">
              <w:rPr>
                <w:color w:val="0e101a"/>
                <w:rtl w:val="0"/>
              </w:rPr>
              <w:t xml:space="preserve">Lead</w:t>
            </w:r>
          </w:p>
        </w:tc>
      </w:tr>
      <w:tr>
        <w:trPr>
          <w:cantSplit w:val="0"/>
          <w:trHeight w:val="359" w:hRule="atLeast"/>
          <w:tblHeader w:val="0"/>
        </w:trPr>
        <w:tc>
          <w:tcPr>
            <w:tcMar>
              <w:top w:w="100.0" w:type="dxa"/>
              <w:left w:w="100.0" w:type="dxa"/>
              <w:bottom w:w="100.0" w:type="dxa"/>
              <w:right w:w="100.0" w:type="dxa"/>
            </w:tcMar>
          </w:tcPr>
          <w:p w:rsidR="00000000" w:rsidDel="00000000" w:rsidP="00000000" w:rsidRDefault="00000000" w:rsidRPr="00000000" w14:paraId="0000004B">
            <w:pPr>
              <w:rPr>
                <w:color w:val="0e101a"/>
              </w:rPr>
            </w:pPr>
            <w:r w:rsidDel="00000000" w:rsidR="00000000" w:rsidRPr="00000000">
              <w:rPr>
                <w:color w:val="0e101a"/>
                <w:rtl w:val="0"/>
              </w:rPr>
              <w:t xml:space="preserve">Project management </w:t>
            </w:r>
          </w:p>
        </w:tc>
        <w:tc>
          <w:tcPr>
            <w:tcMar>
              <w:top w:w="100.0" w:type="dxa"/>
              <w:left w:w="100.0" w:type="dxa"/>
              <w:bottom w:w="100.0" w:type="dxa"/>
              <w:right w:w="100.0" w:type="dxa"/>
            </w:tcMar>
          </w:tcPr>
          <w:p w:rsidR="00000000" w:rsidDel="00000000" w:rsidP="00000000" w:rsidRDefault="00000000" w:rsidRPr="00000000" w14:paraId="0000004C">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4D">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4E">
            <w:pPr>
              <w:jc w:val="center"/>
              <w:rPr>
                <w:color w:val="0e101a"/>
              </w:rPr>
            </w:pPr>
            <w:r w:rsidDel="00000000" w:rsidR="00000000" w:rsidRPr="00000000">
              <w:rPr>
                <w:color w:val="0e101a"/>
                <w:rtl w:val="0"/>
              </w:rPr>
              <w:t xml:space="preserve">Advise </w:t>
            </w:r>
          </w:p>
        </w:tc>
      </w:tr>
      <w:tr>
        <w:trPr>
          <w:cantSplit w:val="0"/>
          <w:trHeight w:val="353" w:hRule="atLeast"/>
          <w:tblHeader w:val="0"/>
        </w:trPr>
        <w:tc>
          <w:tcPr>
            <w:tcMar>
              <w:top w:w="100.0" w:type="dxa"/>
              <w:left w:w="100.0" w:type="dxa"/>
              <w:bottom w:w="100.0" w:type="dxa"/>
              <w:right w:w="100.0" w:type="dxa"/>
            </w:tcMar>
          </w:tcPr>
          <w:p w:rsidR="00000000" w:rsidDel="00000000" w:rsidP="00000000" w:rsidRDefault="00000000" w:rsidRPr="00000000" w14:paraId="0000004F">
            <w:pPr>
              <w:rPr>
                <w:color w:val="0e101a"/>
              </w:rPr>
            </w:pPr>
            <w:r w:rsidDel="00000000" w:rsidR="00000000" w:rsidRPr="00000000">
              <w:rPr>
                <w:color w:val="0e101a"/>
                <w:rtl w:val="0"/>
              </w:rPr>
              <w:t xml:space="preserve">Expert, technical advice </w:t>
            </w:r>
          </w:p>
        </w:tc>
        <w:tc>
          <w:tcPr>
            <w:tcMar>
              <w:top w:w="100.0" w:type="dxa"/>
              <w:left w:w="100.0" w:type="dxa"/>
              <w:bottom w:w="100.0" w:type="dxa"/>
              <w:right w:w="100.0" w:type="dxa"/>
            </w:tcMar>
          </w:tcPr>
          <w:p w:rsidR="00000000" w:rsidDel="00000000" w:rsidP="00000000" w:rsidRDefault="00000000" w:rsidRPr="00000000" w14:paraId="00000050">
            <w:pPr>
              <w:jc w:val="center"/>
              <w:rPr>
                <w:color w:val="0e101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1">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52">
            <w:pPr>
              <w:jc w:val="center"/>
              <w:rPr>
                <w:color w:val="0e101a"/>
              </w:rPr>
            </w:pPr>
            <w:r w:rsidDel="00000000" w:rsidR="00000000" w:rsidRPr="00000000">
              <w:rPr>
                <w:color w:val="0e101a"/>
                <w:rtl w:val="0"/>
              </w:rPr>
              <w:t xml:space="preserve">Support</w:t>
            </w:r>
          </w:p>
        </w:tc>
      </w:tr>
      <w:tr>
        <w:trPr>
          <w:cantSplit w:val="0"/>
          <w:trHeight w:val="362" w:hRule="atLeast"/>
          <w:tblHeader w:val="0"/>
        </w:trPr>
        <w:tc>
          <w:tcPr>
            <w:tcMar>
              <w:top w:w="100.0" w:type="dxa"/>
              <w:left w:w="100.0" w:type="dxa"/>
              <w:bottom w:w="100.0" w:type="dxa"/>
              <w:right w:w="100.0" w:type="dxa"/>
            </w:tcMar>
          </w:tcPr>
          <w:p w:rsidR="00000000" w:rsidDel="00000000" w:rsidP="00000000" w:rsidRDefault="00000000" w:rsidRPr="00000000" w14:paraId="00000053">
            <w:pPr>
              <w:rPr>
                <w:color w:val="0e101a"/>
              </w:rPr>
            </w:pPr>
            <w:r w:rsidDel="00000000" w:rsidR="00000000" w:rsidRPr="00000000">
              <w:rPr>
                <w:color w:val="0e101a"/>
                <w:rtl w:val="0"/>
              </w:rPr>
              <w:t xml:space="preserve">Conduct ToC workshops </w:t>
            </w:r>
          </w:p>
        </w:tc>
        <w:tc>
          <w:tcPr>
            <w:tcMar>
              <w:top w:w="100.0" w:type="dxa"/>
              <w:left w:w="100.0" w:type="dxa"/>
              <w:bottom w:w="100.0" w:type="dxa"/>
              <w:right w:w="100.0" w:type="dxa"/>
            </w:tcMar>
          </w:tcPr>
          <w:p w:rsidR="00000000" w:rsidDel="00000000" w:rsidP="00000000" w:rsidRDefault="00000000" w:rsidRPr="00000000" w14:paraId="00000054">
            <w:pPr>
              <w:jc w:val="center"/>
              <w:rPr>
                <w:color w:val="0e101a"/>
              </w:rPr>
            </w:pPr>
            <w:r w:rsidDel="00000000" w:rsidR="00000000" w:rsidRPr="00000000">
              <w:rPr>
                <w:color w:val="0e101a"/>
                <w:rtl w:val="0"/>
              </w:rPr>
              <w:t xml:space="preserve">Participate</w:t>
            </w:r>
          </w:p>
        </w:tc>
        <w:tc>
          <w:tcPr>
            <w:tcMar>
              <w:top w:w="100.0" w:type="dxa"/>
              <w:left w:w="100.0" w:type="dxa"/>
              <w:bottom w:w="100.0" w:type="dxa"/>
              <w:right w:w="100.0" w:type="dxa"/>
            </w:tcMar>
          </w:tcPr>
          <w:p w:rsidR="00000000" w:rsidDel="00000000" w:rsidP="00000000" w:rsidRDefault="00000000" w:rsidRPr="00000000" w14:paraId="00000055">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56">
            <w:pPr>
              <w:jc w:val="center"/>
              <w:rPr>
                <w:color w:val="0e101a"/>
              </w:rPr>
            </w:pPr>
            <w:r w:rsidDel="00000000" w:rsidR="00000000" w:rsidRPr="00000000">
              <w:rPr>
                <w:color w:val="0e101a"/>
                <w:rtl w:val="0"/>
              </w:rPr>
              <w:t xml:space="preserve">Support</w:t>
            </w:r>
          </w:p>
        </w:tc>
      </w:tr>
      <w:tr>
        <w:trPr>
          <w:cantSplit w:val="0"/>
          <w:trHeight w:val="356" w:hRule="atLeast"/>
          <w:tblHeader w:val="0"/>
        </w:trPr>
        <w:tc>
          <w:tcPr>
            <w:tcMar>
              <w:top w:w="100.0" w:type="dxa"/>
              <w:left w:w="100.0" w:type="dxa"/>
              <w:bottom w:w="100.0" w:type="dxa"/>
              <w:right w:w="100.0" w:type="dxa"/>
            </w:tcMar>
          </w:tcPr>
          <w:p w:rsidR="00000000" w:rsidDel="00000000" w:rsidP="00000000" w:rsidRDefault="00000000" w:rsidRPr="00000000" w14:paraId="00000057">
            <w:pPr>
              <w:rPr>
                <w:color w:val="0e101a"/>
              </w:rPr>
            </w:pPr>
            <w:r w:rsidDel="00000000" w:rsidR="00000000" w:rsidRPr="00000000">
              <w:rPr>
                <w:color w:val="0e101a"/>
                <w:rtl w:val="0"/>
              </w:rPr>
              <w:t xml:space="preserve">Review and QA ToC</w:t>
            </w:r>
          </w:p>
        </w:tc>
        <w:tc>
          <w:tcPr>
            <w:tcMar>
              <w:top w:w="100.0" w:type="dxa"/>
              <w:left w:w="100.0" w:type="dxa"/>
              <w:bottom w:w="100.0" w:type="dxa"/>
              <w:right w:w="100.0" w:type="dxa"/>
            </w:tcMar>
          </w:tcPr>
          <w:p w:rsidR="00000000" w:rsidDel="00000000" w:rsidP="00000000" w:rsidRDefault="00000000" w:rsidRPr="00000000" w14:paraId="00000058">
            <w:pPr>
              <w:jc w:val="center"/>
              <w:rPr>
                <w:color w:val="0e101a"/>
              </w:rPr>
            </w:pPr>
            <w:r w:rsidDel="00000000" w:rsidR="00000000" w:rsidRPr="00000000">
              <w:rPr>
                <w:color w:val="0e101a"/>
                <w:rtl w:val="0"/>
              </w:rPr>
              <w:t xml:space="preserve">Review</w:t>
            </w:r>
          </w:p>
        </w:tc>
        <w:tc>
          <w:tcPr>
            <w:tcMar>
              <w:top w:w="100.0" w:type="dxa"/>
              <w:left w:w="100.0" w:type="dxa"/>
              <w:bottom w:w="100.0" w:type="dxa"/>
              <w:right w:w="100.0" w:type="dxa"/>
            </w:tcMar>
          </w:tcPr>
          <w:p w:rsidR="00000000" w:rsidDel="00000000" w:rsidP="00000000" w:rsidRDefault="00000000" w:rsidRPr="00000000" w14:paraId="00000059">
            <w:pPr>
              <w:jc w:val="center"/>
              <w:rPr>
                <w:color w:val="0e101a"/>
              </w:rPr>
            </w:pPr>
            <w:r w:rsidDel="00000000" w:rsidR="00000000" w:rsidRPr="00000000">
              <w:rPr>
                <w:color w:val="0e101a"/>
                <w:rtl w:val="0"/>
              </w:rPr>
              <w:t xml:space="preserve">Lead</w:t>
            </w:r>
          </w:p>
        </w:tc>
        <w:tc>
          <w:tcPr>
            <w:tcMar>
              <w:top w:w="100.0" w:type="dxa"/>
              <w:left w:w="100.0" w:type="dxa"/>
              <w:bottom w:w="100.0" w:type="dxa"/>
              <w:right w:w="100.0" w:type="dxa"/>
            </w:tcMar>
          </w:tcPr>
          <w:p w:rsidR="00000000" w:rsidDel="00000000" w:rsidP="00000000" w:rsidRDefault="00000000" w:rsidRPr="00000000" w14:paraId="0000005A">
            <w:pPr>
              <w:jc w:val="center"/>
              <w:rPr>
                <w:color w:val="0e101a"/>
              </w:rPr>
            </w:pPr>
            <w:r w:rsidDel="00000000" w:rsidR="00000000" w:rsidRPr="00000000">
              <w:rPr>
                <w:color w:val="0e101a"/>
                <w:rtl w:val="0"/>
              </w:rPr>
              <w:t xml:space="preserve"> Review</w:t>
            </w:r>
          </w:p>
        </w:tc>
      </w:tr>
    </w:tbl>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b w:val="1"/>
          <w:color w:val="3b66bc"/>
          <w:rtl w:val="0"/>
        </w:rPr>
        <w:t xml:space="preserve">Project timeline</w:t>
      </w:r>
      <w:r w:rsidDel="00000000" w:rsidR="00000000" w:rsidRPr="00000000">
        <w:rPr>
          <w:rtl w:val="0"/>
        </w:rPr>
      </w:r>
    </w:p>
    <w:p w:rsidR="00000000" w:rsidDel="00000000" w:rsidP="00000000" w:rsidRDefault="00000000" w:rsidRPr="00000000" w14:paraId="0000005E">
      <w:pPr>
        <w:spacing w:after="100" w:before="60" w:line="264" w:lineRule="auto"/>
        <w:ind w:right="100"/>
        <w:rPr>
          <w:color w:val="0e101a"/>
        </w:rPr>
      </w:pPr>
      <w:r w:rsidDel="00000000" w:rsidR="00000000" w:rsidRPr="00000000">
        <w:rPr>
          <w:color w:val="0e101a"/>
          <w:rtl w:val="0"/>
        </w:rPr>
        <w:t xml:space="preserve">The project timeline is outlined in Table 3 below.</w:t>
      </w:r>
    </w:p>
    <w:p w:rsidR="00000000" w:rsidDel="00000000" w:rsidP="00000000" w:rsidRDefault="00000000" w:rsidRPr="00000000" w14:paraId="0000005F">
      <w:pPr>
        <w:spacing w:after="100" w:before="60" w:line="264" w:lineRule="auto"/>
        <w:ind w:right="100"/>
        <w:rPr>
          <w:color w:val="0e101a"/>
        </w:rPr>
      </w:pPr>
      <w:r w:rsidDel="00000000" w:rsidR="00000000" w:rsidRPr="00000000">
        <w:rPr>
          <w:rtl w:val="0"/>
        </w:rPr>
      </w:r>
    </w:p>
    <w:p w:rsidR="00000000" w:rsidDel="00000000" w:rsidP="00000000" w:rsidRDefault="00000000" w:rsidRPr="00000000" w14:paraId="00000060">
      <w:pPr>
        <w:spacing w:after="100" w:before="60" w:line="264" w:lineRule="auto"/>
        <w:ind w:right="100"/>
        <w:rPr>
          <w:i w:val="1"/>
          <w:color w:val="4472c4"/>
          <w:sz w:val="20"/>
          <w:szCs w:val="20"/>
        </w:rPr>
      </w:pPr>
      <w:r w:rsidDel="00000000" w:rsidR="00000000" w:rsidRPr="00000000">
        <w:rPr>
          <w:i w:val="1"/>
          <w:color w:val="4472c4"/>
          <w:sz w:val="20"/>
          <w:szCs w:val="20"/>
          <w:rtl w:val="0"/>
        </w:rPr>
        <w:t xml:space="preserve">Table 3. Project milestones and key dates</w:t>
      </w:r>
    </w:p>
    <w:tbl>
      <w:tblPr>
        <w:tblStyle w:val="Table3"/>
        <w:tblW w:w="90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70"/>
        <w:gridCol w:w="3090"/>
        <w:tblGridChange w:id="0">
          <w:tblGrid>
            <w:gridCol w:w="5970"/>
            <w:gridCol w:w="3090"/>
          </w:tblGrid>
        </w:tblGridChange>
      </w:tblGrid>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shd w:fill="4472c4"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color w:val="ffffff"/>
              </w:rPr>
            </w:pPr>
            <w:r w:rsidDel="00000000" w:rsidR="00000000" w:rsidRPr="00000000">
              <w:rPr>
                <w:b w:val="1"/>
                <w:color w:val="ffffff"/>
                <w:rtl w:val="0"/>
              </w:rPr>
              <w:t xml:space="preserve">Milestone</w:t>
            </w:r>
          </w:p>
        </w:tc>
        <w:tc>
          <w:tcPr>
            <w:tcBorders>
              <w:top w:color="000000" w:space="0" w:sz="8" w:val="single"/>
              <w:left w:color="000000" w:space="0" w:sz="0" w:val="nil"/>
              <w:bottom w:color="000000" w:space="0" w:sz="8" w:val="single"/>
              <w:right w:color="000000" w:space="0" w:sz="8" w:val="single"/>
            </w:tcBorders>
            <w:shd w:fill="4472c4"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color w:val="ffffff"/>
              </w:rPr>
            </w:pPr>
            <w:r w:rsidDel="00000000" w:rsidR="00000000" w:rsidRPr="00000000">
              <w:rPr>
                <w:b w:val="1"/>
                <w:color w:val="ffffff"/>
                <w:rtl w:val="0"/>
              </w:rPr>
              <w:t xml:space="preserve">Date</w:t>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Call for applications opens (HEPs and Panel of Evaluators)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Monday 12 June 2023</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‘ITT information session’ webinar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Wednesday 5 July 2023</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Deadline for applications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Friday 4 August 2023 (5pm)</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Project kick off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w/c 4 September 2023</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ToC workshops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September - October 2023</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Final outputs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Friday 15 December</w:t>
            </w:r>
            <w:r w:rsidDel="00000000" w:rsidR="00000000" w:rsidRPr="00000000">
              <w:rPr>
                <w:rtl w:val="0"/>
              </w:rPr>
              <w:t xml:space="preserve"> 2023</w:t>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Using the expression of interest form below, please submit your examples of interventions by</w:t>
      </w:r>
      <w:r w:rsidDel="00000000" w:rsidR="00000000" w:rsidRPr="00000000">
        <w:rPr>
          <w:b w:val="1"/>
          <w:rtl w:val="0"/>
        </w:rPr>
        <w:t xml:space="preserve"> 5pm on Friday 4 August 2023</w:t>
      </w:r>
      <w:r w:rsidDel="00000000" w:rsidR="00000000" w:rsidRPr="00000000">
        <w:rPr>
          <w:rtl w:val="0"/>
        </w:rPr>
        <w:t xml:space="preserve">. If you have any questions regarding the open call, please join us on 5 Jul</w:t>
      </w:r>
      <w:r w:rsidDel="00000000" w:rsidR="00000000" w:rsidRPr="00000000">
        <w:rPr>
          <w:rtl w:val="0"/>
        </w:rPr>
        <w:t xml:space="preserve">y 2023 for an information session</w:t>
      </w:r>
      <w:r w:rsidDel="00000000" w:rsidR="00000000" w:rsidRPr="00000000">
        <w:rPr>
          <w:rtl w:val="0"/>
        </w:rPr>
        <w:t xml:space="preserve"> (</w:t>
      </w:r>
      <w:hyperlink r:id="rId11">
        <w:r w:rsidDel="00000000" w:rsidR="00000000" w:rsidRPr="00000000">
          <w:rPr>
            <w:color w:val="1155cc"/>
            <w:u w:val="single"/>
            <w:rtl w:val="0"/>
          </w:rPr>
          <w:t xml:space="preserve">sign-up here</w:t>
        </w:r>
      </w:hyperlink>
      <w:r w:rsidDel="00000000" w:rsidR="00000000" w:rsidRPr="00000000">
        <w:rPr>
          <w:rtl w:val="0"/>
        </w:rPr>
        <w:t xml:space="preserve">) dedicated to unpacking TASO’s open invitations to tender. You can also </w:t>
      </w:r>
      <w:r w:rsidDel="00000000" w:rsidR="00000000" w:rsidRPr="00000000">
        <w:rPr>
          <w:rtl w:val="0"/>
        </w:rPr>
        <w:t xml:space="preserve">get in touch over email via research@taso.org.uk. You will be informed of the outcome of your submission in the </w:t>
      </w:r>
      <w:r w:rsidDel="00000000" w:rsidR="00000000" w:rsidRPr="00000000">
        <w:rPr>
          <w:b w:val="1"/>
          <w:rtl w:val="0"/>
        </w:rPr>
        <w:t xml:space="preserve">w/c 14 August 2023</w:t>
      </w: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3"/>
        <w:spacing w:after="100" w:before="60" w:lineRule="auto"/>
        <w:ind w:left="720"/>
        <w:rPr>
          <w:rFonts w:ascii="Arial" w:cs="Arial" w:eastAsia="Arial" w:hAnsi="Arial"/>
          <w:b w:val="1"/>
          <w:color w:val="3b66bc"/>
          <w:sz w:val="22"/>
          <w:szCs w:val="22"/>
        </w:rPr>
      </w:pPr>
      <w:bookmarkStart w:colFirst="0" w:colLast="0" w:name="_heading=h.ahr66tzdjwra" w:id="4"/>
      <w:bookmarkEnd w:id="4"/>
      <w:r w:rsidDel="00000000" w:rsidR="00000000" w:rsidRPr="00000000">
        <w:rPr>
          <w:rFonts w:ascii="Arial" w:cs="Arial" w:eastAsia="Arial" w:hAnsi="Arial"/>
          <w:b w:val="1"/>
          <w:color w:val="3b66bc"/>
          <w:sz w:val="22"/>
          <w:szCs w:val="22"/>
          <w:rtl w:val="0"/>
        </w:rPr>
        <w:t xml:space="preserve">Eligibility</w:t>
      </w:r>
    </w:p>
    <w:p w:rsidR="00000000" w:rsidDel="00000000" w:rsidP="00000000" w:rsidRDefault="00000000" w:rsidRPr="00000000" w14:paraId="00000073">
      <w:pPr>
        <w:numPr>
          <w:ilvl w:val="0"/>
          <w:numId w:val="3"/>
        </w:numPr>
        <w:ind w:left="720" w:hanging="360"/>
      </w:pPr>
      <w:r w:rsidDel="00000000" w:rsidR="00000000" w:rsidRPr="00000000">
        <w:rPr>
          <w:rtl w:val="0"/>
        </w:rPr>
        <w:t xml:space="preserve">The lead applicant must be a registered English higher education provider in the approved (fee cap) category.</w:t>
      </w:r>
    </w:p>
    <w:p w:rsidR="00000000" w:rsidDel="00000000" w:rsidP="00000000" w:rsidRDefault="00000000" w:rsidRPr="00000000" w14:paraId="00000074">
      <w:pPr>
        <w:numPr>
          <w:ilvl w:val="0"/>
          <w:numId w:val="3"/>
        </w:numPr>
        <w:ind w:left="720" w:hanging="360"/>
      </w:pPr>
      <w:r w:rsidDel="00000000" w:rsidR="00000000" w:rsidRPr="00000000">
        <w:rPr>
          <w:rtl w:val="0"/>
        </w:rPr>
        <w:t xml:space="preserve">The primary focus of the intervention must be to reduce the ethnicity degree awarding gap.</w:t>
      </w:r>
    </w:p>
    <w:p w:rsidR="00000000" w:rsidDel="00000000" w:rsidP="00000000" w:rsidRDefault="00000000" w:rsidRPr="00000000" w14:paraId="00000075">
      <w:pPr>
        <w:numPr>
          <w:ilvl w:val="0"/>
          <w:numId w:val="3"/>
        </w:numPr>
        <w:ind w:left="720" w:hanging="360"/>
      </w:pPr>
      <w:r w:rsidDel="00000000" w:rsidR="00000000" w:rsidRPr="00000000">
        <w:rPr>
          <w:rtl w:val="0"/>
        </w:rPr>
        <w:t xml:space="preserve">The applicant must commit  time and resourcing to the ToC development, including through meetings, workshops and reviewing of outputs</w:t>
      </w:r>
      <w:r w:rsidDel="00000000" w:rsidR="00000000" w:rsidRPr="00000000">
        <w:br w:type="page"/>
      </w:r>
      <w:r w:rsidDel="00000000" w:rsidR="00000000" w:rsidRPr="00000000">
        <w:rPr>
          <w:rtl w:val="0"/>
        </w:rPr>
      </w:r>
    </w:p>
    <w:p w:rsidR="00000000" w:rsidDel="00000000" w:rsidP="00000000" w:rsidRDefault="00000000" w:rsidRPr="00000000" w14:paraId="00000076">
      <w:pPr>
        <w:spacing w:after="100" w:before="60" w:lineRule="auto"/>
        <w:rPr>
          <w:b w:val="1"/>
          <w:color w:val="3b66bc"/>
        </w:rPr>
      </w:pPr>
      <w:r w:rsidDel="00000000" w:rsidR="00000000" w:rsidRPr="00000000">
        <w:rPr>
          <w:b w:val="1"/>
          <w:color w:val="3b66bc"/>
          <w:rtl w:val="0"/>
        </w:rPr>
        <w:t xml:space="preserve">Assessment of applications</w:t>
      </w:r>
    </w:p>
    <w:p w:rsidR="00000000" w:rsidDel="00000000" w:rsidP="00000000" w:rsidRDefault="00000000" w:rsidRPr="00000000" w14:paraId="00000077">
      <w:pPr>
        <w:rPr>
          <w:color w:val="000000"/>
        </w:rPr>
      </w:pPr>
      <w:r w:rsidDel="00000000" w:rsidR="00000000" w:rsidRPr="00000000">
        <w:rPr>
          <w:color w:val="000000"/>
          <w:rtl w:val="0"/>
        </w:rPr>
        <w:t xml:space="preserve">Your application will be assessed by the TASO Research and Evaluation team. The strength of applications will be assessed on the below criteria (please note the weighting of each section):</w:t>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rtl w:val="0"/>
        </w:rPr>
        <w:t xml:space="preserve">Intervention/activity </w:t>
      </w:r>
      <w:r w:rsidDel="00000000" w:rsidR="00000000" w:rsidRPr="00000000">
        <w:rPr>
          <w:i w:val="1"/>
          <w:color w:val="000000"/>
          <w:rtl w:val="0"/>
        </w:rPr>
        <w:t xml:space="preserve">(40%)</w:t>
      </w:r>
    </w:p>
    <w:p w:rsidR="00000000" w:rsidDel="00000000" w:rsidP="00000000" w:rsidRDefault="00000000" w:rsidRPr="00000000" w14:paraId="00000079">
      <w:pPr>
        <w:numPr>
          <w:ilvl w:val="1"/>
          <w:numId w:val="5"/>
        </w:numPr>
        <w:pBdr>
          <w:top w:space="0" w:sz="0" w:val="nil"/>
          <w:left w:space="0" w:sz="0" w:val="nil"/>
          <w:bottom w:space="0" w:sz="0" w:val="nil"/>
          <w:right w:space="0" w:sz="0" w:val="nil"/>
          <w:between w:space="0" w:sz="0" w:val="nil"/>
        </w:pBdr>
        <w:ind w:left="1440" w:hanging="360"/>
        <w:rPr>
          <w:color w:val="000000"/>
        </w:rPr>
      </w:pPr>
      <w:r w:rsidDel="00000000" w:rsidR="00000000" w:rsidRPr="00000000">
        <w:rPr>
          <w:rtl w:val="0"/>
        </w:rPr>
        <w:t xml:space="preserve">How the intervention maps onto the typology of approaches to address the ethnicity degree awarding gap.</w:t>
      </w:r>
      <w:r w:rsidDel="00000000" w:rsidR="00000000" w:rsidRPr="00000000">
        <w:rPr>
          <w:rtl w:val="0"/>
        </w:rPr>
      </w:r>
    </w:p>
    <w:p w:rsidR="00000000" w:rsidDel="00000000" w:rsidP="00000000" w:rsidRDefault="00000000" w:rsidRPr="00000000" w14:paraId="0000007A">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Background information of how the intervention has been designed/delivered previously.</w:t>
      </w:r>
    </w:p>
    <w:p w:rsidR="00000000" w:rsidDel="00000000" w:rsidP="00000000" w:rsidRDefault="00000000" w:rsidRPr="00000000" w14:paraId="0000007B">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How the intervention aims to reduce the ethnicity degree awarding gap including any suggested intermediate outcomes (e.g., sense of belonging). </w:t>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rtl w:val="0"/>
        </w:rPr>
        <w:t xml:space="preserve">Relevance/impact of the project </w:t>
      </w:r>
      <w:r w:rsidDel="00000000" w:rsidR="00000000" w:rsidRPr="00000000">
        <w:rPr>
          <w:i w:val="1"/>
          <w:color w:val="000000"/>
          <w:rtl w:val="0"/>
        </w:rPr>
        <w:t xml:space="preserve">(20%)</w:t>
      </w:r>
    </w:p>
    <w:p w:rsidR="00000000" w:rsidDel="00000000" w:rsidP="00000000" w:rsidRDefault="00000000" w:rsidRPr="00000000" w14:paraId="0000007D">
      <w:pPr>
        <w:numPr>
          <w:ilvl w:val="1"/>
          <w:numId w:val="5"/>
        </w:numPr>
        <w:ind w:left="1440" w:hanging="360"/>
        <w:rPr/>
      </w:pPr>
      <w:r w:rsidDel="00000000" w:rsidR="00000000" w:rsidRPr="00000000">
        <w:rPr>
          <w:rtl w:val="0"/>
        </w:rPr>
        <w:t xml:space="preserve">Relevance of the intervention that the ToC would be developed for. </w:t>
      </w:r>
    </w:p>
    <w:p w:rsidR="00000000" w:rsidDel="00000000" w:rsidP="00000000" w:rsidRDefault="00000000" w:rsidRPr="00000000" w14:paraId="0000007E">
      <w:pPr>
        <w:numPr>
          <w:ilvl w:val="1"/>
          <w:numId w:val="5"/>
        </w:numPr>
        <w:ind w:left="1440" w:hanging="360"/>
        <w:rPr/>
      </w:pPr>
      <w:r w:rsidDel="00000000" w:rsidR="00000000" w:rsidRPr="00000000">
        <w:rPr>
          <w:rtl w:val="0"/>
        </w:rPr>
        <w:t xml:space="preserve">The HEP’s plan to use and implement the ToC beyond the lifecycle of this project.</w:t>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Team (</w:t>
      </w:r>
      <w:r w:rsidDel="00000000" w:rsidR="00000000" w:rsidRPr="00000000">
        <w:rPr>
          <w:i w:val="1"/>
          <w:rtl w:val="0"/>
        </w:rPr>
        <w:t xml:space="preserve">40</w:t>
      </w:r>
      <w:r w:rsidDel="00000000" w:rsidR="00000000" w:rsidRPr="00000000">
        <w:rPr>
          <w:rtl w:val="0"/>
        </w:rPr>
        <w:t xml:space="preserve">%)</w:t>
      </w:r>
    </w:p>
    <w:p w:rsidR="00000000" w:rsidDel="00000000" w:rsidP="00000000" w:rsidRDefault="00000000" w:rsidRPr="00000000" w14:paraId="00000080">
      <w:pPr>
        <w:numPr>
          <w:ilvl w:val="1"/>
          <w:numId w:val="5"/>
        </w:numPr>
        <w:ind w:left="1440" w:hanging="360"/>
        <w:rPr/>
      </w:pPr>
      <w:r w:rsidDel="00000000" w:rsidR="00000000" w:rsidRPr="00000000">
        <w:rPr>
          <w:rtl w:val="0"/>
        </w:rPr>
        <w:t xml:space="preserve">The relevant experience of the project team.</w:t>
      </w:r>
    </w:p>
    <w:p w:rsidR="00000000" w:rsidDel="00000000" w:rsidP="00000000" w:rsidRDefault="00000000" w:rsidRPr="00000000" w14:paraId="00000081">
      <w:pPr>
        <w:numPr>
          <w:ilvl w:val="1"/>
          <w:numId w:val="5"/>
        </w:numPr>
        <w:ind w:left="1440" w:hanging="360"/>
        <w:rPr/>
      </w:pPr>
      <w:r w:rsidDel="00000000" w:rsidR="00000000" w:rsidRPr="00000000">
        <w:rPr>
          <w:rtl w:val="0"/>
        </w:rPr>
        <w:t xml:space="preserve">The team’s commitment to evidence-informed practice. </w:t>
      </w:r>
    </w:p>
    <w:p w:rsidR="00000000" w:rsidDel="00000000" w:rsidP="00000000" w:rsidRDefault="00000000" w:rsidRPr="00000000" w14:paraId="00000082">
      <w:pPr>
        <w:numPr>
          <w:ilvl w:val="1"/>
          <w:numId w:val="5"/>
        </w:numPr>
        <w:ind w:left="1440" w:hanging="360"/>
        <w:rPr/>
      </w:pPr>
      <w:r w:rsidDel="00000000" w:rsidR="00000000" w:rsidRPr="00000000">
        <w:rPr>
          <w:rtl w:val="0"/>
        </w:rPr>
        <w:t xml:space="preserve">The team’s approach to transparency and accountability.</w:t>
      </w:r>
    </w:p>
    <w:p w:rsidR="00000000" w:rsidDel="00000000" w:rsidP="00000000" w:rsidRDefault="00000000" w:rsidRPr="00000000" w14:paraId="00000083">
      <w:pPr>
        <w:pBdr>
          <w:top w:space="0" w:sz="0" w:val="nil"/>
          <w:left w:space="0" w:sz="0" w:val="nil"/>
          <w:bottom w:space="0" w:sz="0" w:val="nil"/>
          <w:right w:space="0" w:sz="0" w:val="nil"/>
          <w:between w:space="0" w:sz="0" w:val="nil"/>
        </w:pBdr>
        <w:rPr/>
      </w:pPr>
      <w:r w:rsidDel="00000000" w:rsidR="00000000" w:rsidRPr="00000000">
        <w:br w:type="page"/>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ind w:left="66" w:firstLine="0"/>
        <w:rPr>
          <w:b w:val="1"/>
          <w:color w:val="3b66bc"/>
          <w:sz w:val="36"/>
          <w:szCs w:val="36"/>
        </w:rPr>
      </w:pPr>
      <w:r w:rsidDel="00000000" w:rsidR="00000000" w:rsidRPr="00000000">
        <w:rPr>
          <w:b w:val="1"/>
          <w:color w:val="3b66bc"/>
          <w:sz w:val="36"/>
          <w:szCs w:val="36"/>
          <w:rtl w:val="0"/>
        </w:rPr>
        <w:t xml:space="preserve">Expression of Interest Form</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60" w:lineRule="auto"/>
        <w:ind w:left="66" w:firstLine="0"/>
        <w:rPr>
          <w:color w:val="000000"/>
        </w:rPr>
      </w:pPr>
      <w:r w:rsidDel="00000000" w:rsidR="00000000" w:rsidRPr="00000000">
        <w:rPr>
          <w:color w:val="000000"/>
          <w:rtl w:val="0"/>
        </w:rPr>
        <w:t xml:space="preserve">Please note that hyperlinks to web-based information will not be accepted, and, if included, will not be evaluated.</w:t>
      </w:r>
    </w:p>
    <w:tbl>
      <w:tblPr>
        <w:tblStyle w:val="Table4"/>
        <w:tblW w:w="935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tcPr>
          <w:p w:rsidR="00000000" w:rsidDel="00000000" w:rsidP="00000000" w:rsidRDefault="00000000" w:rsidRPr="00000000" w14:paraId="00000086">
            <w:pPr>
              <w:keepNext w:val="1"/>
              <w:tabs>
                <w:tab w:val="left" w:leader="none" w:pos="1575"/>
              </w:tabs>
              <w:spacing w:after="100" w:before="60" w:line="264" w:lineRule="auto"/>
              <w:rPr>
                <w:b w:val="1"/>
                <w:sz w:val="24"/>
                <w:szCs w:val="24"/>
              </w:rPr>
            </w:pPr>
            <w:r w:rsidDel="00000000" w:rsidR="00000000" w:rsidRPr="00000000">
              <w:rPr>
                <w:b w:val="1"/>
                <w:sz w:val="24"/>
                <w:szCs w:val="24"/>
                <w:rtl w:val="0"/>
              </w:rPr>
              <w:t xml:space="preserve">Data Protection Notice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7">
            <w:pPr>
              <w:keepNext w:val="1"/>
              <w:spacing w:before="60" w:line="264" w:lineRule="auto"/>
              <w:ind w:right="100"/>
              <w:jc w:val="both"/>
              <w:rPr>
                <w:color w:val="0e101a"/>
              </w:rPr>
            </w:pPr>
            <w:r w:rsidDel="00000000" w:rsidR="00000000" w:rsidRPr="00000000">
              <w:rPr>
                <w:color w:val="0e101a"/>
                <w:rtl w:val="0"/>
              </w:rPr>
              <w:t xml:space="preserve">Please read TASO’s </w:t>
            </w:r>
            <w:hyperlink r:id="rId12">
              <w:r w:rsidDel="00000000" w:rsidR="00000000" w:rsidRPr="00000000">
                <w:rPr>
                  <w:color w:val="1155cc"/>
                  <w:u w:val="single"/>
                  <w:rtl w:val="0"/>
                </w:rPr>
                <w:t xml:space="preserve">Data Protection Notice</w:t>
              </w:r>
            </w:hyperlink>
            <w:r w:rsidDel="00000000" w:rsidR="00000000" w:rsidRPr="00000000">
              <w:rPr>
                <w:color w:val="0e101a"/>
                <w:rtl w:val="0"/>
              </w:rPr>
              <w:t xml:space="preserve"> before submitting your application.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100.0" w:type="dxa"/>
              <w:left w:w="100.0" w:type="dxa"/>
              <w:bottom w:w="100.0" w:type="dxa"/>
              <w:right w:w="100.0" w:type="dxa"/>
            </w:tcMar>
          </w:tcPr>
          <w:p w:rsidR="00000000" w:rsidDel="00000000" w:rsidP="00000000" w:rsidRDefault="00000000" w:rsidRPr="00000000" w14:paraId="00000088">
            <w:pPr>
              <w:keepNext w:val="1"/>
              <w:tabs>
                <w:tab w:val="left" w:leader="none" w:pos="1575"/>
              </w:tabs>
              <w:spacing w:after="100" w:before="60" w:line="264" w:lineRule="auto"/>
              <w:rPr>
                <w:b w:val="1"/>
                <w:sz w:val="24"/>
                <w:szCs w:val="24"/>
              </w:rPr>
            </w:pPr>
            <w:r w:rsidDel="00000000" w:rsidR="00000000" w:rsidRPr="00000000">
              <w:rPr>
                <w:b w:val="1"/>
                <w:sz w:val="24"/>
                <w:szCs w:val="24"/>
                <w:rtl w:val="0"/>
              </w:rPr>
              <w:t xml:space="preserve">Data Protection Notice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9">
            <w:pPr>
              <w:keepNext w:val="1"/>
              <w:spacing w:before="60" w:line="264" w:lineRule="auto"/>
              <w:ind w:right="100"/>
              <w:jc w:val="both"/>
              <w:rPr>
                <w:color w:val="0e101a"/>
              </w:rPr>
            </w:pPr>
            <w:r w:rsidDel="00000000" w:rsidR="00000000" w:rsidRPr="00000000">
              <w:rPr>
                <w:color w:val="0e101a"/>
                <w:rtl w:val="0"/>
              </w:rPr>
              <w:t xml:space="preserve">Do you confirm that you have read and understood the</w:t>
            </w:r>
            <w:hyperlink r:id="rId13">
              <w:r w:rsidDel="00000000" w:rsidR="00000000" w:rsidRPr="00000000">
                <w:rPr>
                  <w:color w:val="1155cc"/>
                  <w:u w:val="single"/>
                  <w:rtl w:val="0"/>
                </w:rPr>
                <w:t xml:space="preserve"> Data Protection Notice</w:t>
              </w:r>
            </w:hyperlink>
            <w:r w:rsidDel="00000000" w:rsidR="00000000" w:rsidRPr="00000000">
              <w:rPr>
                <w:color w:val="0e101a"/>
                <w:rtl w:val="0"/>
              </w:rPr>
              <w:t xml:space="preserve">?</w:t>
            </w:r>
          </w:p>
          <w:p w:rsidR="00000000" w:rsidDel="00000000" w:rsidP="00000000" w:rsidRDefault="00000000" w:rsidRPr="00000000" w14:paraId="0000008A">
            <w:pPr>
              <w:keepNext w:val="1"/>
              <w:spacing w:before="60" w:line="264" w:lineRule="auto"/>
              <w:ind w:right="100"/>
              <w:jc w:val="both"/>
              <w:rPr>
                <w:color w:val="0e101a"/>
              </w:rPr>
            </w:pPr>
            <w:r w:rsidDel="00000000" w:rsidR="00000000" w:rsidRPr="00000000">
              <w:rPr>
                <w:color w:val="0e101a"/>
                <w:rtl w:val="0"/>
              </w:rPr>
              <w:t xml:space="preserve">Yes</w:t>
            </w:r>
          </w:p>
          <w:p w:rsidR="00000000" w:rsidDel="00000000" w:rsidP="00000000" w:rsidRDefault="00000000" w:rsidRPr="00000000" w14:paraId="0000008B">
            <w:pPr>
              <w:keepNext w:val="1"/>
              <w:spacing w:before="60" w:line="264" w:lineRule="auto"/>
              <w:ind w:right="100"/>
              <w:jc w:val="both"/>
              <w:rPr>
                <w:color w:val="0e101a"/>
              </w:rPr>
            </w:pPr>
            <w:r w:rsidDel="00000000" w:rsidR="00000000" w:rsidRPr="00000000">
              <w:rPr>
                <w:color w:val="0e101a"/>
                <w:rtl w:val="0"/>
              </w:rPr>
              <w:t xml:space="preserve">No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C">
            <w:pPr>
              <w:keepNext w:val="1"/>
              <w:tabs>
                <w:tab w:val="left" w:leader="none" w:pos="1575"/>
              </w:tabs>
              <w:spacing w:line="240" w:lineRule="auto"/>
              <w:rPr>
                <w:b w:val="1"/>
                <w:sz w:val="24"/>
                <w:szCs w:val="24"/>
              </w:rPr>
            </w:pPr>
            <w:r w:rsidDel="00000000" w:rsidR="00000000" w:rsidRPr="00000000">
              <w:rPr>
                <w:b w:val="1"/>
                <w:sz w:val="24"/>
                <w:szCs w:val="24"/>
                <w:rtl w:val="0"/>
              </w:rPr>
              <w:t xml:space="preserve">Organisation/</w:t>
            </w:r>
          </w:p>
          <w:p w:rsidR="00000000" w:rsidDel="00000000" w:rsidP="00000000" w:rsidRDefault="00000000" w:rsidRPr="00000000" w14:paraId="0000008D">
            <w:pPr>
              <w:keepNext w:val="1"/>
              <w:tabs>
                <w:tab w:val="left" w:leader="none" w:pos="1575"/>
              </w:tabs>
              <w:spacing w:line="240" w:lineRule="auto"/>
              <w:rPr>
                <w:b w:val="1"/>
                <w:sz w:val="24"/>
                <w:szCs w:val="24"/>
              </w:rPr>
            </w:pPr>
            <w:r w:rsidDel="00000000" w:rsidR="00000000" w:rsidRPr="00000000">
              <w:rPr>
                <w:b w:val="1"/>
                <w:sz w:val="24"/>
                <w:szCs w:val="24"/>
                <w:rtl w:val="0"/>
              </w:rPr>
              <w:t xml:space="preserve">provider name</w:t>
            </w:r>
          </w:p>
          <w:p w:rsidR="00000000" w:rsidDel="00000000" w:rsidP="00000000" w:rsidRDefault="00000000" w:rsidRPr="00000000" w14:paraId="0000008E">
            <w:pPr>
              <w:keepNext w:val="1"/>
              <w:tabs>
                <w:tab w:val="left" w:leader="none" w:pos="1575"/>
              </w:tabs>
              <w:spacing w:line="240" w:lineRule="auto"/>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1"/>
              <w:spacing w:after="120" w:before="60" w:line="240" w:lineRule="auto"/>
              <w:rPr>
                <w:b w:val="1"/>
                <w:color w:val="3b66bc"/>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0">
            <w:pPr>
              <w:tabs>
                <w:tab w:val="left" w:leader="none" w:pos="1575"/>
              </w:tabs>
              <w:spacing w:after="100" w:before="60" w:line="264" w:lineRule="auto"/>
              <w:rPr>
                <w:b w:val="1"/>
                <w:sz w:val="24"/>
                <w:szCs w:val="24"/>
              </w:rPr>
            </w:pPr>
            <w:r w:rsidDel="00000000" w:rsidR="00000000" w:rsidRPr="00000000">
              <w:rPr>
                <w:b w:val="1"/>
                <w:sz w:val="24"/>
                <w:szCs w:val="24"/>
                <w:rtl w:val="0"/>
              </w:rPr>
              <w:t xml:space="preserve">Contact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after="120" w:before="60" w:line="240" w:lineRule="auto"/>
              <w:rPr>
                <w:b w:val="1"/>
                <w:color w:val="3b66bc"/>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2">
            <w:pPr>
              <w:tabs>
                <w:tab w:val="left" w:leader="none" w:pos="1575"/>
              </w:tabs>
              <w:spacing w:after="100" w:before="60" w:line="264" w:lineRule="auto"/>
              <w:rPr>
                <w:b w:val="1"/>
                <w:sz w:val="24"/>
                <w:szCs w:val="24"/>
              </w:rPr>
            </w:pPr>
            <w:bookmarkStart w:colFirst="0" w:colLast="0" w:name="_heading=h.30j0zll" w:id="5"/>
            <w:bookmarkEnd w:id="5"/>
            <w:r w:rsidDel="00000000" w:rsidR="00000000" w:rsidRPr="00000000">
              <w:rPr>
                <w:b w:val="1"/>
                <w:sz w:val="24"/>
                <w:szCs w:val="24"/>
                <w:rtl w:val="0"/>
              </w:rPr>
              <w:t xml:space="preserve">Contact 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120" w:before="60" w:line="240" w:lineRule="auto"/>
              <w:rPr>
                <w:b w:val="1"/>
                <w:color w:val="3b66bc"/>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4">
            <w:pPr>
              <w:spacing w:after="100" w:before="60" w:line="264" w:lineRule="auto"/>
              <w:rPr>
                <w:b w:val="1"/>
                <w:sz w:val="24"/>
                <w:szCs w:val="24"/>
              </w:rPr>
            </w:pPr>
            <w:r w:rsidDel="00000000" w:rsidR="00000000" w:rsidRPr="00000000">
              <w:rPr>
                <w:b w:val="1"/>
                <w:sz w:val="24"/>
                <w:szCs w:val="24"/>
                <w:rtl w:val="0"/>
              </w:rPr>
              <w:t xml:space="preserve">Contact telephone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120" w:before="60" w:line="240" w:lineRule="auto"/>
              <w:rPr>
                <w:b w:val="1"/>
                <w:color w:val="3b66bc"/>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96">
            <w:pPr>
              <w:spacing w:after="100" w:before="60" w:line="264" w:lineRule="auto"/>
              <w:rPr>
                <w:b w:val="1"/>
                <w:sz w:val="24"/>
                <w:szCs w:val="24"/>
              </w:rPr>
            </w:pPr>
            <w:r w:rsidDel="00000000" w:rsidR="00000000" w:rsidRPr="00000000">
              <w:rPr>
                <w:b w:val="1"/>
                <w:sz w:val="24"/>
                <w:szCs w:val="24"/>
                <w:rtl w:val="0"/>
              </w:rPr>
              <w:t xml:space="preserve">Where did you hear about this open call?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tcBorders>
              <w:top w:color="000000" w:space="0" w:sz="4" w:val="single"/>
            </w:tcBorders>
            <w:shd w:fill="d6e0f2" w:val="clear"/>
          </w:tcPr>
          <w:p w:rsidR="00000000" w:rsidDel="00000000" w:rsidP="00000000" w:rsidRDefault="00000000" w:rsidRPr="00000000" w14:paraId="00000098">
            <w:pPr>
              <w:spacing w:after="100" w:before="60" w:line="264" w:lineRule="auto"/>
              <w:rPr>
                <w:b w:val="1"/>
                <w:sz w:val="36"/>
                <w:szCs w:val="36"/>
              </w:rPr>
            </w:pPr>
            <w:r w:rsidDel="00000000" w:rsidR="00000000" w:rsidRPr="00000000">
              <w:rPr>
                <w:b w:val="1"/>
                <w:sz w:val="36"/>
                <w:szCs w:val="36"/>
                <w:rtl w:val="0"/>
              </w:rPr>
              <w:t xml:space="preserve">SECTION A: Intervention/activity</w:t>
            </w:r>
          </w:p>
          <w:p w:rsidR="00000000" w:rsidDel="00000000" w:rsidP="00000000" w:rsidRDefault="00000000" w:rsidRPr="00000000" w14:paraId="00000099">
            <w:pPr>
              <w:spacing w:after="120" w:before="60" w:line="240" w:lineRule="auto"/>
              <w:rPr>
                <w:i w:val="1"/>
                <w:sz w:val="20"/>
                <w:szCs w:val="20"/>
              </w:rPr>
            </w:pPr>
            <w:r w:rsidDel="00000000" w:rsidR="00000000" w:rsidRPr="00000000">
              <w:rPr>
                <w:i w:val="1"/>
                <w:sz w:val="20"/>
                <w:szCs w:val="20"/>
                <w:rtl w:val="0"/>
              </w:rPr>
              <w:t xml:space="preserve">Please provide details on the intervention/activity that you would like to develop the ToC for:</w:t>
            </w:r>
          </w:p>
          <w:p w:rsidR="00000000" w:rsidDel="00000000" w:rsidP="00000000" w:rsidRDefault="00000000" w:rsidRPr="00000000" w14:paraId="0000009A">
            <w:pPr>
              <w:numPr>
                <w:ilvl w:val="0"/>
                <w:numId w:val="2"/>
              </w:numPr>
              <w:spacing w:before="60" w:line="240" w:lineRule="auto"/>
              <w:ind w:left="720" w:hanging="360"/>
              <w:rPr>
                <w:i w:val="1"/>
                <w:sz w:val="20"/>
                <w:szCs w:val="20"/>
              </w:rPr>
            </w:pPr>
            <w:r w:rsidDel="00000000" w:rsidR="00000000" w:rsidRPr="00000000">
              <w:rPr>
                <w:i w:val="1"/>
                <w:sz w:val="20"/>
                <w:szCs w:val="20"/>
                <w:rtl w:val="0"/>
              </w:rPr>
              <w:t xml:space="preserve">Intervention name/description</w:t>
            </w:r>
          </w:p>
          <w:p w:rsidR="00000000" w:rsidDel="00000000" w:rsidP="00000000" w:rsidRDefault="00000000" w:rsidRPr="00000000" w14:paraId="0000009B">
            <w:pPr>
              <w:numPr>
                <w:ilvl w:val="0"/>
                <w:numId w:val="2"/>
              </w:numPr>
              <w:spacing w:line="240" w:lineRule="auto"/>
              <w:ind w:left="720" w:hanging="360"/>
              <w:rPr>
                <w:i w:val="1"/>
                <w:sz w:val="20"/>
                <w:szCs w:val="20"/>
              </w:rPr>
            </w:pPr>
            <w:r w:rsidDel="00000000" w:rsidR="00000000" w:rsidRPr="00000000">
              <w:rPr>
                <w:i w:val="1"/>
                <w:sz w:val="20"/>
                <w:szCs w:val="20"/>
                <w:rtl w:val="0"/>
              </w:rPr>
              <w:t xml:space="preserve">How the intervention maps onto the typology of approaches (</w:t>
            </w:r>
            <w:hyperlink w:anchor="bookmark=id.exb9ipaiy026">
              <w:r w:rsidDel="00000000" w:rsidR="00000000" w:rsidRPr="00000000">
                <w:rPr>
                  <w:i w:val="1"/>
                  <w:color w:val="1155cc"/>
                  <w:sz w:val="20"/>
                  <w:szCs w:val="20"/>
                  <w:u w:val="single"/>
                  <w:rtl w:val="0"/>
                </w:rPr>
                <w:t xml:space="preserve">see Table 1</w:t>
              </w:r>
            </w:hyperlink>
            <w:r w:rsidDel="00000000" w:rsidR="00000000" w:rsidRPr="00000000">
              <w:rPr>
                <w:i w:val="1"/>
                <w:sz w:val="20"/>
                <w:szCs w:val="20"/>
                <w:rtl w:val="0"/>
              </w:rPr>
              <w:t xml:space="preserve">) to address the ethnicity degree awarding gap</w:t>
            </w:r>
          </w:p>
          <w:p w:rsidR="00000000" w:rsidDel="00000000" w:rsidP="00000000" w:rsidRDefault="00000000" w:rsidRPr="00000000" w14:paraId="0000009C">
            <w:pPr>
              <w:numPr>
                <w:ilvl w:val="0"/>
                <w:numId w:val="2"/>
              </w:numPr>
              <w:spacing w:line="240" w:lineRule="auto"/>
              <w:ind w:left="720" w:hanging="360"/>
              <w:rPr>
                <w:i w:val="1"/>
                <w:sz w:val="20"/>
                <w:szCs w:val="20"/>
              </w:rPr>
            </w:pPr>
            <w:r w:rsidDel="00000000" w:rsidR="00000000" w:rsidRPr="00000000">
              <w:rPr>
                <w:i w:val="1"/>
                <w:sz w:val="20"/>
                <w:szCs w:val="20"/>
                <w:rtl w:val="0"/>
              </w:rPr>
              <w:t xml:space="preserve">Background information of how the intervention has been designed/delivered previously</w:t>
            </w:r>
          </w:p>
          <w:p w:rsidR="00000000" w:rsidDel="00000000" w:rsidP="00000000" w:rsidRDefault="00000000" w:rsidRPr="00000000" w14:paraId="0000009D">
            <w:pPr>
              <w:numPr>
                <w:ilvl w:val="0"/>
                <w:numId w:val="2"/>
              </w:numPr>
              <w:spacing w:line="240" w:lineRule="auto"/>
              <w:ind w:left="720" w:hanging="360"/>
              <w:rPr>
                <w:i w:val="1"/>
                <w:sz w:val="20"/>
                <w:szCs w:val="20"/>
              </w:rPr>
            </w:pPr>
            <w:r w:rsidDel="00000000" w:rsidR="00000000" w:rsidRPr="00000000">
              <w:rPr>
                <w:i w:val="1"/>
                <w:sz w:val="20"/>
                <w:szCs w:val="20"/>
                <w:rtl w:val="0"/>
              </w:rPr>
              <w:t xml:space="preserve">How the intervention aims to reduce the ethnicity degree awarding gap including any suggested intermediate outcomes (e.g., sense of belonging)</w:t>
            </w:r>
          </w:p>
          <w:p w:rsidR="00000000" w:rsidDel="00000000" w:rsidP="00000000" w:rsidRDefault="00000000" w:rsidRPr="00000000" w14:paraId="0000009E">
            <w:pPr>
              <w:numPr>
                <w:ilvl w:val="0"/>
                <w:numId w:val="2"/>
              </w:numPr>
              <w:spacing w:after="120" w:line="240" w:lineRule="auto"/>
              <w:ind w:left="720" w:hanging="360"/>
              <w:rPr>
                <w:i w:val="1"/>
                <w:sz w:val="20"/>
                <w:szCs w:val="20"/>
              </w:rPr>
            </w:pPr>
            <w:r w:rsidDel="00000000" w:rsidR="00000000" w:rsidRPr="00000000">
              <w:rPr>
                <w:i w:val="1"/>
                <w:sz w:val="20"/>
                <w:szCs w:val="20"/>
                <w:rtl w:val="0"/>
              </w:rPr>
              <w:t xml:space="preserve">Target group (broadly addressing the ethnicity degree awarding gap or specific marginalised ethnic groups) </w:t>
            </w:r>
          </w:p>
          <w:p w:rsidR="00000000" w:rsidDel="00000000" w:rsidP="00000000" w:rsidRDefault="00000000" w:rsidRPr="00000000" w14:paraId="0000009F">
            <w:pPr>
              <w:spacing w:after="120" w:before="60" w:line="240" w:lineRule="auto"/>
              <w:rPr>
                <w:b w:val="1"/>
                <w:sz w:val="24"/>
                <w:szCs w:val="24"/>
              </w:rPr>
            </w:pPr>
            <w:r w:rsidDel="00000000" w:rsidR="00000000" w:rsidRPr="00000000">
              <w:rPr>
                <w:i w:val="1"/>
                <w:sz w:val="20"/>
                <w:szCs w:val="20"/>
                <w:rtl w:val="0"/>
              </w:rPr>
              <w:t xml:space="preserve">[700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A1">
            <w:pPr>
              <w:spacing w:after="100" w:before="60" w:line="264" w:lineRule="auto"/>
              <w:rPr>
                <w:b w:val="1"/>
                <w:sz w:val="24"/>
                <w:szCs w:val="24"/>
              </w:rPr>
            </w:pPr>
            <w:r w:rsidDel="00000000" w:rsidR="00000000" w:rsidRPr="00000000">
              <w:rPr>
                <w:rtl w:val="0"/>
              </w:rPr>
            </w:r>
          </w:p>
          <w:p w:rsidR="00000000" w:rsidDel="00000000" w:rsidP="00000000" w:rsidRDefault="00000000" w:rsidRPr="00000000" w14:paraId="000000A2">
            <w:pPr>
              <w:spacing w:after="100" w:before="60" w:line="264" w:lineRule="auto"/>
              <w:rPr>
                <w:b w:val="1"/>
                <w:sz w:val="24"/>
                <w:szCs w:val="24"/>
              </w:rPr>
            </w:pPr>
            <w:r w:rsidDel="00000000" w:rsidR="00000000" w:rsidRPr="00000000">
              <w:rPr>
                <w:rtl w:val="0"/>
              </w:rPr>
            </w:r>
          </w:p>
          <w:p w:rsidR="00000000" w:rsidDel="00000000" w:rsidP="00000000" w:rsidRDefault="00000000" w:rsidRPr="00000000" w14:paraId="000000A3">
            <w:pPr>
              <w:spacing w:after="100" w:before="60" w:line="264" w:lineRule="auto"/>
              <w:rPr>
                <w:b w:val="1"/>
                <w:sz w:val="24"/>
                <w:szCs w:val="24"/>
              </w:rPr>
            </w:pPr>
            <w:r w:rsidDel="00000000" w:rsidR="00000000" w:rsidRPr="00000000">
              <w:rPr>
                <w:rtl w:val="0"/>
              </w:rPr>
            </w:r>
          </w:p>
          <w:p w:rsidR="00000000" w:rsidDel="00000000" w:rsidP="00000000" w:rsidRDefault="00000000" w:rsidRPr="00000000" w14:paraId="000000A4">
            <w:pPr>
              <w:spacing w:after="120" w:before="60" w:line="240" w:lineRule="auto"/>
              <w:rPr>
                <w:rFonts w:ascii="MS Gothic" w:cs="MS Gothic" w:eastAsia="MS Gothic" w:hAnsi="MS Gothic"/>
                <w:b w:val="1"/>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A6">
            <w:pPr>
              <w:spacing w:after="120" w:before="60" w:line="240" w:lineRule="auto"/>
              <w:rPr>
                <w:b w:val="1"/>
                <w:sz w:val="36"/>
                <w:szCs w:val="36"/>
              </w:rPr>
            </w:pPr>
            <w:r w:rsidDel="00000000" w:rsidR="00000000" w:rsidRPr="00000000">
              <w:rPr>
                <w:b w:val="1"/>
                <w:sz w:val="36"/>
                <w:szCs w:val="36"/>
                <w:rtl w:val="0"/>
              </w:rPr>
              <w:t xml:space="preserve">SECTION B: Relevance/impact</w:t>
            </w:r>
          </w:p>
          <w:p w:rsidR="00000000" w:rsidDel="00000000" w:rsidP="00000000" w:rsidRDefault="00000000" w:rsidRPr="00000000" w14:paraId="000000A7">
            <w:pPr>
              <w:spacing w:after="120" w:before="60" w:line="240" w:lineRule="auto"/>
              <w:rPr>
                <w:i w:val="1"/>
                <w:sz w:val="20"/>
                <w:szCs w:val="20"/>
              </w:rPr>
            </w:pPr>
            <w:r w:rsidDel="00000000" w:rsidR="00000000" w:rsidRPr="00000000">
              <w:rPr>
                <w:i w:val="1"/>
                <w:sz w:val="20"/>
                <w:szCs w:val="20"/>
                <w:rtl w:val="0"/>
              </w:rPr>
              <w:t xml:space="preserve">Please provide details on:</w:t>
            </w:r>
          </w:p>
          <w:p w:rsidR="00000000" w:rsidDel="00000000" w:rsidP="00000000" w:rsidRDefault="00000000" w:rsidRPr="00000000" w14:paraId="000000A8">
            <w:pPr>
              <w:numPr>
                <w:ilvl w:val="0"/>
                <w:numId w:val="1"/>
              </w:numPr>
              <w:spacing w:before="60" w:line="240" w:lineRule="auto"/>
              <w:ind w:left="1080" w:hanging="360"/>
              <w:rPr>
                <w:i w:val="1"/>
                <w:sz w:val="20"/>
                <w:szCs w:val="20"/>
              </w:rPr>
            </w:pPr>
            <w:r w:rsidDel="00000000" w:rsidR="00000000" w:rsidRPr="00000000">
              <w:rPr>
                <w:i w:val="1"/>
                <w:sz w:val="20"/>
                <w:szCs w:val="20"/>
                <w:rtl w:val="0"/>
              </w:rPr>
              <w:t xml:space="preserve">The relevance of the intervention/activity for your provider and the wider sector</w:t>
            </w:r>
          </w:p>
          <w:p w:rsidR="00000000" w:rsidDel="00000000" w:rsidP="00000000" w:rsidRDefault="00000000" w:rsidRPr="00000000" w14:paraId="000000A9">
            <w:pPr>
              <w:numPr>
                <w:ilvl w:val="0"/>
                <w:numId w:val="1"/>
              </w:numPr>
              <w:spacing w:before="60" w:line="240" w:lineRule="auto"/>
              <w:ind w:left="1080" w:hanging="360"/>
              <w:rPr>
                <w:i w:val="1"/>
                <w:sz w:val="20"/>
                <w:szCs w:val="20"/>
              </w:rPr>
            </w:pPr>
            <w:r w:rsidDel="00000000" w:rsidR="00000000" w:rsidRPr="00000000">
              <w:rPr>
                <w:i w:val="1"/>
                <w:sz w:val="20"/>
                <w:szCs w:val="20"/>
                <w:rtl w:val="0"/>
              </w:rPr>
              <w:t xml:space="preserve">Future plans for use/implementation of the ToC</w:t>
            </w:r>
          </w:p>
          <w:p w:rsidR="00000000" w:rsidDel="00000000" w:rsidP="00000000" w:rsidRDefault="00000000" w:rsidRPr="00000000" w14:paraId="000000AA">
            <w:pPr>
              <w:spacing w:after="120" w:line="240" w:lineRule="auto"/>
              <w:rPr>
                <w:i w:val="1"/>
                <w:sz w:val="20"/>
                <w:szCs w:val="20"/>
              </w:rPr>
            </w:pPr>
            <w:r w:rsidDel="00000000" w:rsidR="00000000" w:rsidRPr="00000000">
              <w:rPr>
                <w:rtl w:val="0"/>
              </w:rPr>
            </w:r>
          </w:p>
          <w:p w:rsidR="00000000" w:rsidDel="00000000" w:rsidP="00000000" w:rsidRDefault="00000000" w:rsidRPr="00000000" w14:paraId="000000AB">
            <w:pPr>
              <w:spacing w:after="120" w:line="240" w:lineRule="auto"/>
              <w:rPr>
                <w:i w:val="1"/>
                <w:sz w:val="20"/>
                <w:szCs w:val="20"/>
              </w:rPr>
            </w:pPr>
            <w:r w:rsidDel="00000000" w:rsidR="00000000" w:rsidRPr="00000000">
              <w:rPr>
                <w:i w:val="1"/>
                <w:sz w:val="20"/>
                <w:szCs w:val="20"/>
                <w:rtl w:val="0"/>
              </w:rPr>
              <w:t xml:space="preserve">[500 words max]</w:t>
            </w:r>
          </w:p>
        </w:tc>
      </w:tr>
      <w:tr>
        <w:trPr>
          <w:cantSplit w:val="0"/>
          <w:tblHeader w:val="0"/>
        </w:trPr>
        <w:tc>
          <w:tcPr>
            <w:gridSpan w:val="2"/>
            <w:shd w:fill="auto" w:val="clear"/>
          </w:tcPr>
          <w:p w:rsidR="00000000" w:rsidDel="00000000" w:rsidP="00000000" w:rsidRDefault="00000000" w:rsidRPr="00000000" w14:paraId="000000AD">
            <w:pPr>
              <w:spacing w:after="120" w:before="60" w:line="240" w:lineRule="auto"/>
              <w:rPr>
                <w:b w:val="1"/>
                <w:sz w:val="24"/>
                <w:szCs w:val="24"/>
              </w:rPr>
            </w:pPr>
            <w:r w:rsidDel="00000000" w:rsidR="00000000" w:rsidRPr="00000000">
              <w:rPr>
                <w:rtl w:val="0"/>
              </w:rPr>
            </w:r>
          </w:p>
          <w:p w:rsidR="00000000" w:rsidDel="00000000" w:rsidP="00000000" w:rsidRDefault="00000000" w:rsidRPr="00000000" w14:paraId="000000AE">
            <w:pPr>
              <w:spacing w:after="120" w:before="60" w:line="240" w:lineRule="auto"/>
              <w:rPr>
                <w:b w:val="1"/>
                <w:sz w:val="24"/>
                <w:szCs w:val="24"/>
              </w:rPr>
            </w:pPr>
            <w:r w:rsidDel="00000000" w:rsidR="00000000" w:rsidRPr="00000000">
              <w:rPr>
                <w:rtl w:val="0"/>
              </w:rPr>
            </w:r>
          </w:p>
          <w:p w:rsidR="00000000" w:rsidDel="00000000" w:rsidP="00000000" w:rsidRDefault="00000000" w:rsidRPr="00000000" w14:paraId="000000AF">
            <w:pPr>
              <w:spacing w:after="120" w:before="60" w:line="240" w:lineRule="auto"/>
              <w:rPr>
                <w:b w:val="1"/>
                <w:sz w:val="24"/>
                <w:szCs w:val="24"/>
              </w:rPr>
            </w:pPr>
            <w:r w:rsidDel="00000000" w:rsidR="00000000" w:rsidRPr="00000000">
              <w:rPr>
                <w:rtl w:val="0"/>
              </w:rPr>
            </w:r>
          </w:p>
          <w:p w:rsidR="00000000" w:rsidDel="00000000" w:rsidP="00000000" w:rsidRDefault="00000000" w:rsidRPr="00000000" w14:paraId="000000B0">
            <w:pPr>
              <w:spacing w:after="120" w:before="60" w:line="240" w:lineRule="auto"/>
              <w:rPr>
                <w:b w:val="1"/>
                <w:sz w:val="24"/>
                <w:szCs w:val="24"/>
              </w:rPr>
            </w:pPr>
            <w:r w:rsidDel="00000000" w:rsidR="00000000" w:rsidRPr="00000000">
              <w:rPr>
                <w:rtl w:val="0"/>
              </w:rPr>
            </w:r>
          </w:p>
        </w:tc>
      </w:tr>
      <w:tr>
        <w:trPr>
          <w:cantSplit w:val="0"/>
          <w:tblHeader w:val="0"/>
        </w:trPr>
        <w:tc>
          <w:tcPr>
            <w:gridSpan w:val="2"/>
            <w:shd w:fill="d9e2f3" w:val="clear"/>
          </w:tcPr>
          <w:p w:rsidR="00000000" w:rsidDel="00000000" w:rsidP="00000000" w:rsidRDefault="00000000" w:rsidRPr="00000000" w14:paraId="000000B2">
            <w:pPr>
              <w:spacing w:after="120" w:before="60" w:line="240" w:lineRule="auto"/>
              <w:rPr>
                <w:i w:val="1"/>
                <w:sz w:val="20"/>
                <w:szCs w:val="20"/>
              </w:rPr>
            </w:pPr>
            <w:r w:rsidDel="00000000" w:rsidR="00000000" w:rsidRPr="00000000">
              <w:rPr>
                <w:b w:val="1"/>
                <w:sz w:val="36"/>
                <w:szCs w:val="36"/>
                <w:rtl w:val="0"/>
              </w:rPr>
              <w:t xml:space="preserve">SECTION C: Team</w:t>
            </w:r>
            <w:r w:rsidDel="00000000" w:rsidR="00000000" w:rsidRPr="00000000">
              <w:rPr>
                <w:rtl w:val="0"/>
              </w:rPr>
            </w:r>
          </w:p>
          <w:p w:rsidR="00000000" w:rsidDel="00000000" w:rsidP="00000000" w:rsidRDefault="00000000" w:rsidRPr="00000000" w14:paraId="000000B3">
            <w:pPr>
              <w:spacing w:after="120" w:before="60" w:line="240" w:lineRule="auto"/>
              <w:rPr>
                <w:i w:val="1"/>
                <w:sz w:val="24"/>
                <w:szCs w:val="24"/>
              </w:rPr>
            </w:pPr>
            <w:r w:rsidDel="00000000" w:rsidR="00000000" w:rsidRPr="00000000">
              <w:rPr>
                <w:i w:val="1"/>
                <w:sz w:val="20"/>
                <w:szCs w:val="20"/>
                <w:rtl w:val="0"/>
              </w:rPr>
              <w:t xml:space="preserve">Please provide details of the team who will be involved in delivering / supporting the development of the TOC:</w:t>
            </w:r>
            <w:r w:rsidDel="00000000" w:rsidR="00000000" w:rsidRPr="00000000">
              <w:rPr>
                <w:rtl w:val="0"/>
              </w:rPr>
            </w:r>
          </w:p>
          <w:p w:rsidR="00000000" w:rsidDel="00000000" w:rsidP="00000000" w:rsidRDefault="00000000" w:rsidRPr="00000000" w14:paraId="000000B4">
            <w:pPr>
              <w:numPr>
                <w:ilvl w:val="0"/>
                <w:numId w:val="2"/>
              </w:numPr>
              <w:spacing w:before="60" w:line="240" w:lineRule="auto"/>
              <w:ind w:left="720" w:hanging="360"/>
              <w:rPr>
                <w:i w:val="1"/>
                <w:sz w:val="20"/>
                <w:szCs w:val="20"/>
              </w:rPr>
            </w:pPr>
            <w:r w:rsidDel="00000000" w:rsidR="00000000" w:rsidRPr="00000000">
              <w:rPr>
                <w:i w:val="1"/>
                <w:sz w:val="20"/>
                <w:szCs w:val="20"/>
                <w:rtl w:val="0"/>
              </w:rPr>
              <w:t xml:space="preserve">Details of key staff who will be involved with the ToC development and working with the evaluation panel member</w:t>
            </w:r>
          </w:p>
          <w:p w:rsidR="00000000" w:rsidDel="00000000" w:rsidP="00000000" w:rsidRDefault="00000000" w:rsidRPr="00000000" w14:paraId="000000B5">
            <w:pPr>
              <w:numPr>
                <w:ilvl w:val="0"/>
                <w:numId w:val="2"/>
              </w:numPr>
              <w:spacing w:before="60" w:line="240" w:lineRule="auto"/>
              <w:ind w:left="720" w:hanging="360"/>
              <w:rPr>
                <w:i w:val="1"/>
                <w:sz w:val="20"/>
                <w:szCs w:val="20"/>
              </w:rPr>
            </w:pPr>
            <w:r w:rsidDel="00000000" w:rsidR="00000000" w:rsidRPr="00000000">
              <w:rPr>
                <w:i w:val="1"/>
                <w:sz w:val="20"/>
                <w:szCs w:val="20"/>
                <w:rtl w:val="0"/>
              </w:rPr>
              <w:t xml:space="preserve">Relevant knowledge and skills (of both the topic area and evaluation)</w:t>
            </w:r>
          </w:p>
          <w:p w:rsidR="00000000" w:rsidDel="00000000" w:rsidP="00000000" w:rsidRDefault="00000000" w:rsidRPr="00000000" w14:paraId="000000B6">
            <w:pPr>
              <w:numPr>
                <w:ilvl w:val="0"/>
                <w:numId w:val="2"/>
              </w:numPr>
              <w:spacing w:before="60" w:line="240" w:lineRule="auto"/>
              <w:ind w:left="720" w:hanging="360"/>
              <w:rPr>
                <w:i w:val="1"/>
                <w:sz w:val="20"/>
                <w:szCs w:val="20"/>
              </w:rPr>
            </w:pPr>
            <w:r w:rsidDel="00000000" w:rsidR="00000000" w:rsidRPr="00000000">
              <w:rPr>
                <w:i w:val="1"/>
                <w:sz w:val="20"/>
                <w:szCs w:val="20"/>
                <w:rtl w:val="0"/>
              </w:rPr>
              <w:t xml:space="preserve">The team’s commitment to evidence-informed practice</w:t>
            </w:r>
          </w:p>
          <w:p w:rsidR="00000000" w:rsidDel="00000000" w:rsidP="00000000" w:rsidRDefault="00000000" w:rsidRPr="00000000" w14:paraId="000000B7">
            <w:pPr>
              <w:numPr>
                <w:ilvl w:val="0"/>
                <w:numId w:val="2"/>
              </w:numPr>
              <w:spacing w:before="60" w:line="240" w:lineRule="auto"/>
              <w:ind w:left="720" w:hanging="360"/>
              <w:rPr>
                <w:i w:val="1"/>
                <w:sz w:val="20"/>
                <w:szCs w:val="20"/>
              </w:rPr>
            </w:pPr>
            <w:r w:rsidDel="00000000" w:rsidR="00000000" w:rsidRPr="00000000">
              <w:rPr>
                <w:i w:val="1"/>
                <w:sz w:val="20"/>
                <w:szCs w:val="20"/>
                <w:rtl w:val="0"/>
              </w:rPr>
              <w:t xml:space="preserve">The team’s approach to transparency and accountability when working with independent evaluators</w:t>
            </w:r>
          </w:p>
          <w:p w:rsidR="00000000" w:rsidDel="00000000" w:rsidP="00000000" w:rsidRDefault="00000000" w:rsidRPr="00000000" w14:paraId="000000B8">
            <w:pPr>
              <w:numPr>
                <w:ilvl w:val="0"/>
                <w:numId w:val="2"/>
              </w:numPr>
              <w:spacing w:before="60" w:line="240" w:lineRule="auto"/>
              <w:ind w:left="720" w:hanging="360"/>
              <w:rPr>
                <w:i w:val="1"/>
                <w:sz w:val="20"/>
                <w:szCs w:val="20"/>
              </w:rPr>
            </w:pPr>
            <w:r w:rsidDel="00000000" w:rsidR="00000000" w:rsidRPr="00000000">
              <w:rPr>
                <w:i w:val="1"/>
                <w:sz w:val="20"/>
                <w:szCs w:val="20"/>
                <w:rtl w:val="0"/>
              </w:rPr>
              <w:t xml:space="preserve">Capacity to meet key responsibilities in </w:t>
            </w:r>
            <w:hyperlink w:anchor="bookmark=id.i5gxoba75ncp">
              <w:r w:rsidDel="00000000" w:rsidR="00000000" w:rsidRPr="00000000">
                <w:rPr>
                  <w:i w:val="1"/>
                  <w:color w:val="1155cc"/>
                  <w:sz w:val="20"/>
                  <w:szCs w:val="20"/>
                  <w:u w:val="single"/>
                  <w:rtl w:val="0"/>
                </w:rPr>
                <w:t xml:space="preserve">Table 2</w:t>
              </w:r>
            </w:hyperlink>
            <w:r w:rsidDel="00000000" w:rsidR="00000000" w:rsidRPr="00000000">
              <w:rPr>
                <w:rtl w:val="0"/>
              </w:rPr>
            </w:r>
          </w:p>
          <w:p w:rsidR="00000000" w:rsidDel="00000000" w:rsidP="00000000" w:rsidRDefault="00000000" w:rsidRPr="00000000" w14:paraId="000000B9">
            <w:pPr>
              <w:spacing w:after="120" w:before="60" w:line="240" w:lineRule="auto"/>
              <w:rPr>
                <w:i w:val="1"/>
                <w:sz w:val="20"/>
                <w:szCs w:val="20"/>
              </w:rPr>
            </w:pPr>
            <w:r w:rsidDel="00000000" w:rsidR="00000000" w:rsidRPr="00000000">
              <w:rPr>
                <w:rtl w:val="0"/>
              </w:rPr>
            </w:r>
          </w:p>
          <w:p w:rsidR="00000000" w:rsidDel="00000000" w:rsidP="00000000" w:rsidRDefault="00000000" w:rsidRPr="00000000" w14:paraId="000000BA">
            <w:pPr>
              <w:spacing w:after="120" w:before="60" w:line="240" w:lineRule="auto"/>
              <w:rPr>
                <w:b w:val="1"/>
                <w:sz w:val="36"/>
                <w:szCs w:val="36"/>
              </w:rPr>
            </w:pPr>
            <w:r w:rsidDel="00000000" w:rsidR="00000000" w:rsidRPr="00000000">
              <w:rPr>
                <w:i w:val="1"/>
                <w:sz w:val="20"/>
                <w:szCs w:val="20"/>
                <w:rtl w:val="0"/>
              </w:rPr>
              <w:t xml:space="preserve">[500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BC">
            <w:pPr>
              <w:spacing w:line="264" w:lineRule="auto"/>
              <w:rPr>
                <w:color w:val="3b66bc"/>
                <w:sz w:val="24"/>
                <w:szCs w:val="24"/>
              </w:rPr>
            </w:pPr>
            <w:r w:rsidDel="00000000" w:rsidR="00000000" w:rsidRPr="00000000">
              <w:rPr>
                <w:rtl w:val="0"/>
              </w:rPr>
            </w:r>
          </w:p>
          <w:p w:rsidR="00000000" w:rsidDel="00000000" w:rsidP="00000000" w:rsidRDefault="00000000" w:rsidRPr="00000000" w14:paraId="000000BD">
            <w:pPr>
              <w:spacing w:line="264" w:lineRule="auto"/>
              <w:rPr>
                <w:color w:val="3b66bc"/>
                <w:sz w:val="24"/>
                <w:szCs w:val="24"/>
              </w:rPr>
            </w:pPr>
            <w:r w:rsidDel="00000000" w:rsidR="00000000" w:rsidRPr="00000000">
              <w:rPr>
                <w:rtl w:val="0"/>
              </w:rPr>
            </w:r>
          </w:p>
          <w:p w:rsidR="00000000" w:rsidDel="00000000" w:rsidP="00000000" w:rsidRDefault="00000000" w:rsidRPr="00000000" w14:paraId="000000BE">
            <w:pPr>
              <w:spacing w:line="264" w:lineRule="auto"/>
              <w:rPr>
                <w:color w:val="3b66bc"/>
                <w:sz w:val="24"/>
                <w:szCs w:val="24"/>
              </w:rPr>
            </w:pPr>
            <w:r w:rsidDel="00000000" w:rsidR="00000000" w:rsidRPr="00000000">
              <w:rPr>
                <w:rtl w:val="0"/>
              </w:rPr>
            </w:r>
          </w:p>
          <w:p w:rsidR="00000000" w:rsidDel="00000000" w:rsidP="00000000" w:rsidRDefault="00000000" w:rsidRPr="00000000" w14:paraId="000000BF">
            <w:pPr>
              <w:spacing w:line="264" w:lineRule="auto"/>
              <w:rPr>
                <w:color w:val="3b66bc"/>
                <w:sz w:val="24"/>
                <w:szCs w:val="24"/>
              </w:rPr>
            </w:pPr>
            <w:r w:rsidDel="00000000" w:rsidR="00000000" w:rsidRPr="00000000">
              <w:rPr>
                <w:rtl w:val="0"/>
              </w:rPr>
            </w:r>
          </w:p>
          <w:p w:rsidR="00000000" w:rsidDel="00000000" w:rsidP="00000000" w:rsidRDefault="00000000" w:rsidRPr="00000000" w14:paraId="000000C0">
            <w:pPr>
              <w:spacing w:line="264" w:lineRule="auto"/>
              <w:rPr>
                <w:color w:val="3b66bc"/>
                <w:sz w:val="24"/>
                <w:szCs w:val="24"/>
              </w:rPr>
            </w:pPr>
            <w:r w:rsidDel="00000000" w:rsidR="00000000" w:rsidRPr="00000000">
              <w:rPr>
                <w:rtl w:val="0"/>
              </w:rPr>
            </w:r>
          </w:p>
          <w:p w:rsidR="00000000" w:rsidDel="00000000" w:rsidP="00000000" w:rsidRDefault="00000000" w:rsidRPr="00000000" w14:paraId="000000C1">
            <w:pPr>
              <w:spacing w:line="264" w:lineRule="auto"/>
              <w:rPr>
                <w:color w:val="3b66bc"/>
                <w:sz w:val="24"/>
                <w:szCs w:val="24"/>
              </w:rPr>
            </w:pPr>
            <w:r w:rsidDel="00000000" w:rsidR="00000000" w:rsidRPr="00000000">
              <w:rPr>
                <w:rtl w:val="0"/>
              </w:rPr>
            </w:r>
          </w:p>
        </w:tc>
      </w:tr>
    </w:tbl>
    <w:p w:rsidR="00000000" w:rsidDel="00000000" w:rsidP="00000000" w:rsidRDefault="00000000" w:rsidRPr="00000000" w14:paraId="000000C3">
      <w:pPr>
        <w:keepNext w:val="1"/>
        <w:keepLines w:val="1"/>
        <w:pBdr>
          <w:top w:space="0" w:sz="0" w:val="nil"/>
          <w:left w:space="0" w:sz="0" w:val="nil"/>
          <w:bottom w:space="0" w:sz="0" w:val="nil"/>
          <w:right w:space="0" w:sz="0" w:val="nil"/>
          <w:between w:space="0" w:sz="0" w:val="nil"/>
        </w:pBdr>
        <w:spacing w:after="120" w:before="60" w:lineRule="auto"/>
        <w:rPr/>
      </w:pPr>
      <w:r w:rsidDel="00000000" w:rsidR="00000000" w:rsidRPr="00000000">
        <w:br w:type="page"/>
      </w:r>
      <w:r w:rsidDel="00000000" w:rsidR="00000000" w:rsidRPr="00000000">
        <w:rPr>
          <w:rtl w:val="0"/>
        </w:rPr>
      </w:r>
    </w:p>
    <w:p w:rsidR="00000000" w:rsidDel="00000000" w:rsidP="00000000" w:rsidRDefault="00000000" w:rsidRPr="00000000" w14:paraId="000000C4">
      <w:pPr>
        <w:keepNext w:val="1"/>
        <w:keepLines w:val="1"/>
        <w:pBdr>
          <w:top w:space="0" w:sz="0" w:val="nil"/>
          <w:left w:space="0" w:sz="0" w:val="nil"/>
          <w:bottom w:space="0" w:sz="0" w:val="nil"/>
          <w:right w:space="0" w:sz="0" w:val="nil"/>
          <w:between w:space="0" w:sz="0" w:val="nil"/>
        </w:pBdr>
        <w:spacing w:after="120" w:before="60" w:lineRule="auto"/>
        <w:rPr>
          <w:i w:val="1"/>
          <w:color w:val="434343"/>
          <w:sz w:val="24"/>
          <w:szCs w:val="24"/>
        </w:rPr>
      </w:pPr>
      <w:r w:rsidDel="00000000" w:rsidR="00000000" w:rsidRPr="00000000">
        <w:rPr>
          <w:i w:val="1"/>
          <w:color w:val="434343"/>
          <w:sz w:val="24"/>
          <w:szCs w:val="24"/>
          <w:rtl w:val="0"/>
        </w:rPr>
        <w:t xml:space="preserve">Additional guidance</w:t>
      </w:r>
    </w:p>
    <w:p w:rsidR="00000000" w:rsidDel="00000000" w:rsidP="00000000" w:rsidRDefault="00000000" w:rsidRPr="00000000" w14:paraId="000000C5">
      <w:pPr>
        <w:numPr>
          <w:ilvl w:val="0"/>
          <w:numId w:val="6"/>
        </w:numPr>
        <w:pBdr>
          <w:top w:space="0" w:sz="0" w:val="nil"/>
          <w:left w:space="0" w:sz="0" w:val="nil"/>
          <w:bottom w:space="0" w:sz="0" w:val="nil"/>
          <w:right w:space="0" w:sz="0" w:val="nil"/>
          <w:between w:space="0" w:sz="0" w:val="nil"/>
        </w:pBdr>
        <w:spacing w:before="60" w:lineRule="auto"/>
        <w:ind w:left="720" w:hanging="360"/>
        <w:rPr>
          <w:color w:val="000000"/>
        </w:rPr>
      </w:pPr>
      <w:r w:rsidDel="00000000" w:rsidR="00000000" w:rsidRPr="00000000">
        <w:rPr>
          <w:color w:val="000000"/>
          <w:rtl w:val="0"/>
        </w:rPr>
        <w:t xml:space="preserve">TASO reserves the right, acting reasonably, to:</w:t>
      </w:r>
    </w:p>
    <w:p w:rsidR="00000000" w:rsidDel="00000000" w:rsidP="00000000" w:rsidRDefault="00000000" w:rsidRPr="00000000" w14:paraId="000000C6">
      <w:pPr>
        <w:numPr>
          <w:ilvl w:val="1"/>
          <w:numId w:val="6"/>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Discontinue the award procedure in the absence of appropriate applications;  </w:t>
      </w:r>
    </w:p>
    <w:p w:rsidR="00000000" w:rsidDel="00000000" w:rsidP="00000000" w:rsidRDefault="00000000" w:rsidRPr="00000000" w14:paraId="000000C7">
      <w:pPr>
        <w:numPr>
          <w:ilvl w:val="1"/>
          <w:numId w:val="6"/>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Change the timetable for the procurement of the Contract, and in such circumstances TASO will notify all applicants of any change by the fastest means possible;</w:t>
      </w:r>
    </w:p>
    <w:p w:rsidR="00000000" w:rsidDel="00000000" w:rsidP="00000000" w:rsidRDefault="00000000" w:rsidRPr="00000000" w14:paraId="000000C8">
      <w:pPr>
        <w:numPr>
          <w:ilvl w:val="1"/>
          <w:numId w:val="6"/>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Terminate discussions with organisations which apply; </w:t>
      </w:r>
    </w:p>
    <w:p w:rsidR="00000000" w:rsidDel="00000000" w:rsidP="00000000" w:rsidRDefault="00000000" w:rsidRPr="00000000" w14:paraId="000000C9">
      <w:pPr>
        <w:numPr>
          <w:ilvl w:val="1"/>
          <w:numId w:val="6"/>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Discontinue the procedure leading to the award of the Contract;</w:t>
      </w:r>
    </w:p>
    <w:p w:rsidR="00000000" w:rsidDel="00000000" w:rsidP="00000000" w:rsidRDefault="00000000" w:rsidRPr="00000000" w14:paraId="000000CA">
      <w:pPr>
        <w:numPr>
          <w:ilvl w:val="1"/>
          <w:numId w:val="6"/>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Not to award any Contract at all as a result of this process</w:t>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Under no circumstances shall TASO incur any liability in respect of any of these actions.</w:t>
      </w:r>
    </w:p>
    <w:p w:rsidR="00000000" w:rsidDel="00000000" w:rsidP="00000000" w:rsidRDefault="00000000" w:rsidRPr="00000000" w14:paraId="000000CC">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rsidR="00000000" w:rsidDel="00000000" w:rsidP="00000000" w:rsidRDefault="00000000" w:rsidRPr="00000000" w14:paraId="000000CD">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TASO will not reimburse any costs incurred by organisations in connection with preparation of their applications. </w:t>
      </w:r>
    </w:p>
    <w:p w:rsidR="00000000" w:rsidDel="00000000" w:rsidP="00000000" w:rsidRDefault="00000000" w:rsidRPr="00000000" w14:paraId="000000CE">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If you are unsure of the meaning of a question or anything in this call for applications then it is your responsibility to ask TASO to clarify in writing via email.</w:t>
      </w:r>
    </w:p>
    <w:p w:rsidR="00000000" w:rsidDel="00000000" w:rsidP="00000000" w:rsidRDefault="00000000" w:rsidRPr="00000000" w14:paraId="000000CF">
      <w:pPr>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TASO will aim to answer clarification questions within five (5) working days, but does not undertake to do so. TASO may also decline to answer a question if it deems the question to be inappropriate. If TASO is unable to answer a question, this will be communicated.</w:t>
      </w:r>
    </w:p>
    <w:p w:rsidR="00000000" w:rsidDel="00000000" w:rsidP="00000000" w:rsidRDefault="00000000" w:rsidRPr="00000000" w14:paraId="000000D0">
      <w:pPr>
        <w:rPr/>
      </w:pPr>
      <w:r w:rsidDel="00000000" w:rsidR="00000000" w:rsidRPr="00000000">
        <w:rPr>
          <w:rtl w:val="0"/>
        </w:rPr>
      </w:r>
    </w:p>
    <w:sectPr>
      <w:headerReference r:id="rId14" w:type="default"/>
      <w:footerReference r:id="rId1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pPr>
    <w:r w:rsidDel="00000000" w:rsidR="00000000" w:rsidRPr="00000000">
      <w:rPr>
        <w:rtl w:val="0"/>
      </w:rPr>
    </w:r>
    <w:r w:rsidDel="00000000" w:rsidR="00000000" w:rsidRPr="00000000">
      <w:drawing>
        <wp:anchor allowOverlap="1" behindDoc="0" distB="101600" distT="0" distL="0" distR="0" hidden="0" layoutInCell="1" locked="0" relativeHeight="0" simplePos="0">
          <wp:simplePos x="0" y="0"/>
          <wp:positionH relativeFrom="column">
            <wp:posOffset>-847087</wp:posOffset>
          </wp:positionH>
          <wp:positionV relativeFrom="paragraph">
            <wp:posOffset>149860</wp:posOffset>
          </wp:positionV>
          <wp:extent cx="2690813" cy="806338"/>
          <wp:effectExtent b="0" l="0" r="0" t="0"/>
          <wp:wrapSquare wrapText="bothSides" distB="101600" distT="0" distL="0" distR="0"/>
          <wp:docPr descr="A picture containing object&#10;&#10;Description automatically generated" id="261300550" name="image1.png"/>
          <a:graphic>
            <a:graphicData uri="http://schemas.openxmlformats.org/drawingml/2006/picture">
              <pic:pic>
                <pic:nvPicPr>
                  <pic:cNvPr descr="A picture containing object&#10;&#10;Description automatically generated" id="0" name="image1.png"/>
                  <pic:cNvPicPr preferRelativeResize="0"/>
                </pic:nvPicPr>
                <pic:blipFill>
                  <a:blip r:embed="rId1"/>
                  <a:srcRect b="0" l="0" r="0" t="0"/>
                  <a:stretch>
                    <a:fillRect/>
                  </a:stretch>
                </pic:blipFill>
                <pic:spPr>
                  <a:xfrm>
                    <a:off x="0" y="0"/>
                    <a:ext cx="2690813" cy="806338"/>
                  </a:xfrm>
                  <a:prstGeom prst="rect"/>
                  <a:ln/>
                </pic:spPr>
              </pic:pic>
            </a:graphicData>
          </a:graphic>
        </wp:anchor>
      </w:drawing>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16C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ED2C30"/>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link w:val="Heading3Char"/>
    <w:uiPriority w:val="9"/>
    <w:semiHidden w:val="1"/>
    <w:unhideWhenUsed w:val="1"/>
    <w:qFormat w:val="1"/>
    <w:rsid w:val="00A66B47"/>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link w:val="ListParagraphChar"/>
    <w:uiPriority w:val="34"/>
    <w:qFormat w:val="1"/>
    <w:rsid w:val="00C016C7"/>
    <w:pPr>
      <w:ind w:left="720"/>
      <w:contextualSpacing w:val="1"/>
    </w:pPr>
  </w:style>
  <w:style w:type="paragraph" w:styleId="NormalWeb">
    <w:name w:val="Normal (Web)"/>
    <w:basedOn w:val="Normal"/>
    <w:uiPriority w:val="99"/>
    <w:semiHidden w:val="1"/>
    <w:unhideWhenUsed w:val="1"/>
    <w:rsid w:val="00F976E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163C7"/>
    <w:rPr>
      <w:color w:val="0563c1" w:themeColor="hyperlink"/>
      <w:u w:val="single"/>
    </w:rPr>
  </w:style>
  <w:style w:type="character" w:styleId="UnresolvedMention">
    <w:name w:val="Unresolved Mention"/>
    <w:basedOn w:val="DefaultParagraphFont"/>
    <w:uiPriority w:val="99"/>
    <w:rsid w:val="007163C7"/>
    <w:rPr>
      <w:color w:val="605e5c"/>
      <w:shd w:color="auto" w:fill="e1dfdd" w:val="clear"/>
    </w:rPr>
  </w:style>
  <w:style w:type="character" w:styleId="FollowedHyperlink">
    <w:name w:val="FollowedHyperlink"/>
    <w:basedOn w:val="DefaultParagraphFont"/>
    <w:uiPriority w:val="99"/>
    <w:semiHidden w:val="1"/>
    <w:unhideWhenUsed w:val="1"/>
    <w:rsid w:val="007163C7"/>
    <w:rPr>
      <w:color w:val="954f72" w:themeColor="followedHyperlink"/>
      <w:u w:val="single"/>
    </w:rPr>
  </w:style>
  <w:style w:type="character" w:styleId="Heading2Char" w:customStyle="1">
    <w:name w:val="Heading 2 Char"/>
    <w:basedOn w:val="DefaultParagraphFont"/>
    <w:link w:val="Heading2"/>
    <w:uiPriority w:val="9"/>
    <w:rsid w:val="00ED2C30"/>
    <w:rPr>
      <w:rFonts w:ascii="Times New Roman" w:cs="Times New Roman" w:eastAsia="Times New Roman" w:hAnsi="Times New Roman"/>
      <w:b w:val="1"/>
      <w:bCs w:val="1"/>
      <w:sz w:val="36"/>
      <w:szCs w:val="36"/>
      <w:lang w:eastAsia="en-GB"/>
    </w:rPr>
  </w:style>
  <w:style w:type="character" w:styleId="normaltextrun" w:customStyle="1">
    <w:name w:val="normaltextrun"/>
    <w:basedOn w:val="DefaultParagraphFont"/>
    <w:rsid w:val="00BA1693"/>
  </w:style>
  <w:style w:type="character" w:styleId="CommentReference">
    <w:name w:val="annotation reference"/>
    <w:basedOn w:val="DefaultParagraphFont"/>
    <w:uiPriority w:val="99"/>
    <w:semiHidden w:val="1"/>
    <w:unhideWhenUsed w:val="1"/>
    <w:rsid w:val="00E3189B"/>
    <w:rPr>
      <w:sz w:val="16"/>
      <w:szCs w:val="16"/>
    </w:rPr>
  </w:style>
  <w:style w:type="paragraph" w:styleId="CommentText">
    <w:name w:val="annotation text"/>
    <w:basedOn w:val="Normal"/>
    <w:link w:val="CommentTextChar"/>
    <w:uiPriority w:val="99"/>
    <w:unhideWhenUsed w:val="1"/>
    <w:rsid w:val="00E3189B"/>
    <w:pPr>
      <w:spacing w:line="240" w:lineRule="auto"/>
    </w:pPr>
    <w:rPr>
      <w:sz w:val="20"/>
      <w:szCs w:val="20"/>
    </w:rPr>
  </w:style>
  <w:style w:type="character" w:styleId="CommentTextChar" w:customStyle="1">
    <w:name w:val="Comment Text Char"/>
    <w:basedOn w:val="DefaultParagraphFont"/>
    <w:link w:val="CommentText"/>
    <w:uiPriority w:val="99"/>
    <w:rsid w:val="00E3189B"/>
    <w:rPr>
      <w:rFonts w:ascii="Arial" w:cs="Arial" w:eastAsia="Arial" w:hAnsi="Arial"/>
      <w:sz w:val="20"/>
      <w:szCs w:val="20"/>
      <w:lang w:eastAsia="en-GB"/>
    </w:rPr>
  </w:style>
  <w:style w:type="paragraph" w:styleId="CommentSubject">
    <w:name w:val="annotation subject"/>
    <w:basedOn w:val="CommentText"/>
    <w:next w:val="CommentText"/>
    <w:link w:val="CommentSubjectChar"/>
    <w:uiPriority w:val="99"/>
    <w:semiHidden w:val="1"/>
    <w:unhideWhenUsed w:val="1"/>
    <w:rsid w:val="00E3189B"/>
    <w:rPr>
      <w:b w:val="1"/>
      <w:bCs w:val="1"/>
    </w:rPr>
  </w:style>
  <w:style w:type="character" w:styleId="CommentSubjectChar" w:customStyle="1">
    <w:name w:val="Comment Subject Char"/>
    <w:basedOn w:val="CommentTextChar"/>
    <w:link w:val="CommentSubject"/>
    <w:uiPriority w:val="99"/>
    <w:semiHidden w:val="1"/>
    <w:rsid w:val="00E3189B"/>
    <w:rPr>
      <w:rFonts w:ascii="Arial" w:cs="Arial" w:eastAsia="Arial" w:hAnsi="Arial"/>
      <w:b w:val="1"/>
      <w:bCs w:val="1"/>
      <w:sz w:val="20"/>
      <w:szCs w:val="20"/>
      <w:lang w:eastAsia="en-GB"/>
    </w:rPr>
  </w:style>
  <w:style w:type="paragraph" w:styleId="BalloonText">
    <w:name w:val="Balloon Text"/>
    <w:basedOn w:val="Normal"/>
    <w:link w:val="BalloonTextChar"/>
    <w:uiPriority w:val="99"/>
    <w:semiHidden w:val="1"/>
    <w:unhideWhenUsed w:val="1"/>
    <w:rsid w:val="00E3189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3189B"/>
    <w:rPr>
      <w:rFonts w:ascii="Times New Roman" w:cs="Times New Roman" w:eastAsia="Arial" w:hAnsi="Times New Roman"/>
      <w:sz w:val="18"/>
      <w:szCs w:val="18"/>
      <w:lang w:eastAsia="en-GB"/>
    </w:rPr>
  </w:style>
  <w:style w:type="paragraph" w:styleId="paragraph" w:customStyle="1">
    <w:name w:val="paragraph"/>
    <w:basedOn w:val="Normal"/>
    <w:rsid w:val="00716428"/>
    <w:pPr>
      <w:spacing w:after="100" w:afterAutospacing="1" w:before="100" w:beforeAutospacing="1" w:line="240" w:lineRule="auto"/>
    </w:pPr>
    <w:rPr>
      <w:rFonts w:ascii="Times New Roman" w:cs="Times New Roman" w:eastAsia="Times New Roman" w:hAnsi="Times New Roman"/>
      <w:sz w:val="24"/>
      <w:szCs w:val="24"/>
    </w:rPr>
  </w:style>
  <w:style w:type="character" w:styleId="eop" w:customStyle="1">
    <w:name w:val="eop"/>
    <w:basedOn w:val="DefaultParagraphFont"/>
    <w:rsid w:val="00716428"/>
  </w:style>
  <w:style w:type="paragraph" w:styleId="Header">
    <w:name w:val="header"/>
    <w:basedOn w:val="Normal"/>
    <w:link w:val="HeaderChar"/>
    <w:uiPriority w:val="99"/>
    <w:unhideWhenUsed w:val="1"/>
    <w:rsid w:val="00D85DA7"/>
    <w:pPr>
      <w:tabs>
        <w:tab w:val="center" w:pos="4513"/>
        <w:tab w:val="right" w:pos="9026"/>
      </w:tabs>
      <w:spacing w:line="240" w:lineRule="auto"/>
    </w:pPr>
  </w:style>
  <w:style w:type="character" w:styleId="HeaderChar" w:customStyle="1">
    <w:name w:val="Header Char"/>
    <w:basedOn w:val="DefaultParagraphFont"/>
    <w:link w:val="Header"/>
    <w:uiPriority w:val="99"/>
    <w:rsid w:val="00D85DA7"/>
    <w:rPr>
      <w:rFonts w:ascii="Arial" w:cs="Arial" w:eastAsia="Arial" w:hAnsi="Arial"/>
      <w:sz w:val="22"/>
      <w:szCs w:val="22"/>
      <w:lang w:eastAsia="en-GB"/>
    </w:rPr>
  </w:style>
  <w:style w:type="paragraph" w:styleId="Footer">
    <w:name w:val="footer"/>
    <w:basedOn w:val="Normal"/>
    <w:link w:val="FooterChar"/>
    <w:uiPriority w:val="99"/>
    <w:unhideWhenUsed w:val="1"/>
    <w:rsid w:val="00D85DA7"/>
    <w:pPr>
      <w:tabs>
        <w:tab w:val="center" w:pos="4513"/>
        <w:tab w:val="right" w:pos="9026"/>
      </w:tabs>
      <w:spacing w:line="240" w:lineRule="auto"/>
    </w:pPr>
  </w:style>
  <w:style w:type="character" w:styleId="FooterChar" w:customStyle="1">
    <w:name w:val="Footer Char"/>
    <w:basedOn w:val="DefaultParagraphFont"/>
    <w:link w:val="Footer"/>
    <w:uiPriority w:val="99"/>
    <w:rsid w:val="00D85DA7"/>
    <w:rPr>
      <w:rFonts w:ascii="Arial" w:cs="Arial" w:eastAsia="Arial" w:hAnsi="Arial"/>
      <w:sz w:val="22"/>
      <w:szCs w:val="22"/>
      <w:lang w:eastAsia="en-GB"/>
    </w:rPr>
  </w:style>
  <w:style w:type="table" w:styleId="TableGrid">
    <w:name w:val="Table Grid"/>
    <w:basedOn w:val="TableNormal"/>
    <w:uiPriority w:val="59"/>
    <w:rsid w:val="00674F9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link w:val="ListParagraph"/>
    <w:uiPriority w:val="34"/>
    <w:locked w:val="1"/>
    <w:rsid w:val="001735E2"/>
    <w:rPr>
      <w:rFonts w:ascii="Arial" w:cs="Arial" w:eastAsia="Arial" w:hAnsi="Arial"/>
      <w:sz w:val="22"/>
      <w:szCs w:val="22"/>
      <w:lang w:eastAsia="en-GB"/>
    </w:rPr>
  </w:style>
  <w:style w:type="character" w:styleId="Heading3Char" w:customStyle="1">
    <w:name w:val="Heading 3 Char"/>
    <w:basedOn w:val="DefaultParagraphFont"/>
    <w:link w:val="Heading3"/>
    <w:uiPriority w:val="9"/>
    <w:semiHidden w:val="1"/>
    <w:rsid w:val="00A66B47"/>
    <w:rPr>
      <w:rFonts w:asciiTheme="majorHAnsi" w:cstheme="majorBidi" w:eastAsiaTheme="majorEastAsia" w:hAnsiTheme="majorHAnsi"/>
      <w:color w:val="1f3763" w:themeColor="accent1" w:themeShade="00007F"/>
      <w:lang w:eastAsia="en-GB"/>
    </w:rPr>
  </w:style>
  <w:style w:type="table" w:styleId="TableGrid1" w:customStyle="1">
    <w:name w:val="Table Grid1"/>
    <w:basedOn w:val="TableNormal"/>
    <w:next w:val="TableGrid"/>
    <w:uiPriority w:val="59"/>
    <w:rsid w:val="005C6147"/>
    <w:pPr>
      <w:pBdr>
        <w:top w:space="0" w:sz="0" w:val="nil"/>
        <w:left w:space="0" w:sz="0" w:val="nil"/>
        <w:bottom w:space="0" w:sz="0" w:val="nil"/>
        <w:right w:space="0" w:sz="0" w:val="nil"/>
        <w:between w:space="0" w:sz="0" w:val="nil"/>
      </w:pBdr>
    </w:pPr>
    <w:rPr>
      <w:color w:val="000000"/>
      <w:lang w:val="e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0"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1"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2"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3"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4"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8" w:customStyle="1">
    <w:basedOn w:val="TableNormal"/>
    <w:tblPr>
      <w:tblStyleRowBandSize w:val="1"/>
      <w:tblStyleColBandSize w:val="1"/>
      <w:tblCellMar>
        <w:top w:w="15.0" w:type="dxa"/>
        <w:left w:w="15.0" w:type="dxa"/>
        <w:bottom w:w="15.0" w:type="dxa"/>
        <w:right w:w="15.0" w:type="dxa"/>
      </w:tblCellMar>
    </w:tblPr>
  </w:style>
  <w:style w:type="table" w:styleId="a9"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 w:type="table" w:styleId="aa"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aso.org.uk/event/exploring-tasos-new-invitations-to-tender-in-higher-education/" TargetMode="External"/><Relationship Id="rId10" Type="http://schemas.openxmlformats.org/officeDocument/2006/relationships/hyperlink" Target="https://taso.org.uk/evidence/evaluation-guidance-resources/toc/" TargetMode="External"/><Relationship Id="rId13" Type="http://schemas.openxmlformats.org/officeDocument/2006/relationships/hyperlink" Target="https://taso.org.uk/taso-privacy-notice/" TargetMode="External"/><Relationship Id="rId12" Type="http://schemas.openxmlformats.org/officeDocument/2006/relationships/hyperlink" Target="https://taso.org.uk/taso-privacy-no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so.org.uk/get-involved/panelofevaluator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what-works-network" TargetMode="External"/><Relationship Id="rId8" Type="http://schemas.openxmlformats.org/officeDocument/2006/relationships/hyperlink" Target="https://s33320.pcdn.co/wp-content/uploads/Approaches-to-addressing-the-ethnicity-degree-awarding-gap.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wSXGzO8hgP1eq5UMhq5X/Lda8g==">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2023-05-24T08:44:00Z</dcterms:created>
  <dc:creator>Chappell, Sarah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