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7C1E" w:rsidRDefault="00000000">
      <w:pPr>
        <w:rPr>
          <w:b/>
          <w:color w:val="3B66BC"/>
          <w:sz w:val="40"/>
          <w:szCs w:val="40"/>
          <w:highlight w:val="white"/>
        </w:rPr>
      </w:pPr>
      <w:bookmarkStart w:id="0" w:name="_heading=h.ighkzbickhqz" w:colFirst="0" w:colLast="0"/>
      <w:bookmarkEnd w:id="0"/>
      <w:r>
        <w:rPr>
          <w:b/>
          <w:color w:val="3B66BC"/>
          <w:sz w:val="40"/>
          <w:szCs w:val="40"/>
          <w:highlight w:val="white"/>
        </w:rPr>
        <w:t>Ethnicity degree awarding gaps: Theory of Change development</w:t>
      </w:r>
    </w:p>
    <w:p w14:paraId="00000002" w14:textId="77777777" w:rsidR="00B87C1E" w:rsidRDefault="00000000">
      <w:pPr>
        <w:rPr>
          <w:color w:val="000000"/>
          <w:highlight w:val="white"/>
        </w:rPr>
      </w:pPr>
      <w:r>
        <w:rPr>
          <w:highlight w:val="white"/>
        </w:rPr>
        <w:t>June 2023</w:t>
      </w:r>
    </w:p>
    <w:p w14:paraId="00000003" w14:textId="77777777" w:rsidR="00B87C1E" w:rsidRDefault="00B87C1E"/>
    <w:p w14:paraId="00000004" w14:textId="77777777" w:rsidR="00B87C1E" w:rsidRDefault="00000000">
      <w:pPr>
        <w:pStyle w:val="Heading1"/>
        <w:spacing w:before="120"/>
        <w:rPr>
          <w:color w:val="3B66BC"/>
          <w:sz w:val="24"/>
          <w:szCs w:val="24"/>
        </w:rPr>
      </w:pPr>
      <w:bookmarkStart w:id="1" w:name="_heading=h.w1kblnku4cla" w:colFirst="0" w:colLast="0"/>
      <w:bookmarkEnd w:id="1"/>
      <w:r>
        <w:rPr>
          <w:color w:val="3B66BC"/>
          <w:sz w:val="22"/>
          <w:szCs w:val="22"/>
        </w:rPr>
        <w:t>Open call for higher education (HE) providers</w:t>
      </w:r>
    </w:p>
    <w:p w14:paraId="00000005" w14:textId="77777777" w:rsidR="00B87C1E" w:rsidRDefault="00000000">
      <w:r>
        <w:t>The Centre for Transforming Access and Student Outcomes in Higher Education (TASO) is calling for higher education providers (HEPs) interested in receiving evaluation support to develop Theories of Change (</w:t>
      </w:r>
      <w:proofErr w:type="spellStart"/>
      <w:r>
        <w:t>ToCs</w:t>
      </w:r>
      <w:proofErr w:type="spellEnd"/>
      <w:r>
        <w:t xml:space="preserve">) for interventions aimed at addressing the ethnicity degree awarding gap. HEPs will be matched up with a member of our </w:t>
      </w:r>
      <w:hyperlink r:id="rId8">
        <w:r>
          <w:rPr>
            <w:color w:val="1155CC"/>
            <w:u w:val="single"/>
          </w:rPr>
          <w:t>Panel of Evaluators</w:t>
        </w:r>
      </w:hyperlink>
      <w:r>
        <w:t xml:space="preserve"> to receive funded independent evaluation support.</w:t>
      </w:r>
    </w:p>
    <w:p w14:paraId="00000006" w14:textId="77777777" w:rsidR="00B87C1E" w:rsidRDefault="00B87C1E"/>
    <w:p w14:paraId="00000007" w14:textId="77777777" w:rsidR="00B87C1E" w:rsidRDefault="00000000">
      <w:r>
        <w:t xml:space="preserve">TASO will publish these </w:t>
      </w:r>
      <w:proofErr w:type="spellStart"/>
      <w:r>
        <w:t>ToCs</w:t>
      </w:r>
      <w:proofErr w:type="spellEnd"/>
      <w:r>
        <w:t xml:space="preserve"> as prototypes for the sector to use. It is an opportunity for participating HEPs to build internal evaluation expertise specifically in relation to designing high-quality </w:t>
      </w:r>
      <w:proofErr w:type="spellStart"/>
      <w:proofErr w:type="gramStart"/>
      <w:r>
        <w:t>ToCs</w:t>
      </w:r>
      <w:proofErr w:type="spellEnd"/>
      <w:r>
        <w:t>, and</w:t>
      </w:r>
      <w:proofErr w:type="gramEnd"/>
      <w:r>
        <w:t xml:space="preserve"> contribute towards TASO’s ambition to support better evaluation of interventions addressing the ethnicity degree awarding gap.  </w:t>
      </w:r>
    </w:p>
    <w:p w14:paraId="00000008" w14:textId="77777777" w:rsidR="00B87C1E" w:rsidRDefault="00B87C1E"/>
    <w:p w14:paraId="00000009" w14:textId="77777777" w:rsidR="00B87C1E" w:rsidRDefault="00000000">
      <w:pPr>
        <w:rPr>
          <w:b/>
          <w:color w:val="3B66BC"/>
        </w:rPr>
      </w:pPr>
      <w:r>
        <w:rPr>
          <w:b/>
          <w:color w:val="3B66BC"/>
        </w:rPr>
        <w:t xml:space="preserve">Introduction to TASO </w:t>
      </w:r>
    </w:p>
    <w:p w14:paraId="0000000A" w14:textId="77777777" w:rsidR="00B87C1E" w:rsidRDefault="00000000">
      <w:r>
        <w:t xml:space="preserve">TASO aims to improve lives through evidence-based practice in higher education (HE). Our vision is to eliminate equality gaps for disadvantaged and underrepresented groups, allowing all students to have the same chance to enter HE, get a good degree and progress into further study or employment. </w:t>
      </w:r>
    </w:p>
    <w:p w14:paraId="0000000B" w14:textId="77777777" w:rsidR="00B87C1E" w:rsidRDefault="00000000">
      <w:pPr>
        <w:rPr>
          <w:color w:val="0E101A"/>
        </w:rPr>
      </w:pPr>
      <w:r>
        <w:br/>
      </w:r>
      <w:r>
        <w:rPr>
          <w:color w:val="0E101A"/>
        </w:rPr>
        <w:t xml:space="preserve">TASO is an affiliate ‘What Works’ centre and is part of the </w:t>
      </w:r>
      <w:hyperlink r:id="rId9">
        <w:r>
          <w:rPr>
            <w:color w:val="0563C1"/>
            <w:u w:val="single"/>
          </w:rPr>
          <w:t>UK Government’s What Works Movement.</w:t>
        </w:r>
      </w:hyperlink>
      <w:r>
        <w:rPr>
          <w:color w:val="0563C1"/>
        </w:rPr>
        <w:t xml:space="preserve"> </w:t>
      </w:r>
      <w:r>
        <w:rPr>
          <w:color w:val="0E101A"/>
        </w:rPr>
        <w:t xml:space="preserve">This means that TASO is committed to the generation, synthesis and dissemination of high-quality evidence about effective practice in widening participation and student success. </w:t>
      </w:r>
    </w:p>
    <w:p w14:paraId="0000000C" w14:textId="77777777" w:rsidR="00B87C1E" w:rsidRDefault="00B87C1E">
      <w:pPr>
        <w:rPr>
          <w:color w:val="0E101A"/>
        </w:rPr>
      </w:pPr>
    </w:p>
    <w:p w14:paraId="0000000D" w14:textId="77777777" w:rsidR="00B87C1E" w:rsidRDefault="00000000">
      <w:pPr>
        <w:rPr>
          <w:color w:val="0E101A"/>
        </w:rPr>
      </w:pPr>
      <w:r>
        <w:rPr>
          <w:b/>
          <w:color w:val="3B66BC"/>
        </w:rPr>
        <w:t>Background</w:t>
      </w:r>
    </w:p>
    <w:p w14:paraId="0000000E" w14:textId="5F41DFC4" w:rsidR="00B87C1E" w:rsidRDefault="00000000">
      <w:r>
        <w:t xml:space="preserve">TASO recently commissioned Staffordshire University to produce a typology of approaches being delivered in the HE </w:t>
      </w:r>
      <w:proofErr w:type="gramStart"/>
      <w:r>
        <w:t>sector</w:t>
      </w:r>
      <w:proofErr w:type="gramEnd"/>
      <w:r>
        <w:t xml:space="preserve"> to tackle the ethnicity degree awarding gap. This gap refers to the significant difference in the proportions of students from marginalised ethnic backgrounds being awarded a first or upper-second class undergraduate degree when compared to White students. The project involved analysis of Access and Participation Plans (APPs) to understand what is being delivered and evaluated, in addition to interviews with sector stakeholders to provide important context to the activities that have been undertaken. Findings from this project have been published in a </w:t>
      </w:r>
      <w:sdt>
        <w:sdtPr>
          <w:tag w:val="goog_rdk_0"/>
          <w:id w:val="-1469513846"/>
        </w:sdtPr>
        <w:sdtContent/>
      </w:sdt>
      <w:hyperlink r:id="rId10" w:history="1">
        <w:r w:rsidRPr="00AB4E55">
          <w:rPr>
            <w:rStyle w:val="Hyperlink"/>
          </w:rPr>
          <w:t>re</w:t>
        </w:r>
        <w:r w:rsidRPr="00AB4E55">
          <w:rPr>
            <w:rStyle w:val="Hyperlink"/>
          </w:rPr>
          <w:t>p</w:t>
        </w:r>
        <w:r w:rsidRPr="00AB4E55">
          <w:rPr>
            <w:rStyle w:val="Hyperlink"/>
          </w:rPr>
          <w:t>ort</w:t>
        </w:r>
      </w:hyperlink>
      <w:r>
        <w:t xml:space="preserve">, which also details key recommendations. </w:t>
      </w:r>
    </w:p>
    <w:p w14:paraId="0000000F" w14:textId="77777777" w:rsidR="00B87C1E" w:rsidRDefault="00B87C1E"/>
    <w:p w14:paraId="00000010" w14:textId="77777777" w:rsidR="00B87C1E" w:rsidRDefault="00000000">
      <w:r>
        <w:t xml:space="preserve">Of APPs which had targets to reduce the ethnicity degree awarding gap, approximately two thirds (N=43) did not include a </w:t>
      </w:r>
      <w:proofErr w:type="spellStart"/>
      <w:r>
        <w:t>ToC</w:t>
      </w:r>
      <w:proofErr w:type="spellEnd"/>
      <w:r>
        <w:t xml:space="preserve"> within their APP. Of those that did, a large proportion (N=30) were inadequately detailed - it was unclear how the intervention would ultimately lead to a reduction in the gap. Consequently, a key recommendation from the report is that </w:t>
      </w:r>
      <w:proofErr w:type="gramStart"/>
      <w:r>
        <w:t xml:space="preserve">providers  </w:t>
      </w:r>
      <w:r>
        <w:lastRenderedPageBreak/>
        <w:t>develop</w:t>
      </w:r>
      <w:proofErr w:type="gramEnd"/>
      <w:r>
        <w:t xml:space="preserve"> robust </w:t>
      </w:r>
      <w:proofErr w:type="spellStart"/>
      <w:r>
        <w:t>ToCs</w:t>
      </w:r>
      <w:proofErr w:type="spellEnd"/>
      <w:r>
        <w:t xml:space="preserve"> with clearly articulated mechanisms of change linking activities to desired outcomes.</w:t>
      </w:r>
    </w:p>
    <w:p w14:paraId="00000011" w14:textId="77777777" w:rsidR="00B87C1E" w:rsidRDefault="00B87C1E"/>
    <w:p w14:paraId="00000012" w14:textId="77777777" w:rsidR="00B87C1E" w:rsidRDefault="00000000">
      <w:pPr>
        <w:rPr>
          <w:b/>
          <w:color w:val="3B66BC"/>
        </w:rPr>
      </w:pPr>
      <w:r>
        <w:rPr>
          <w:b/>
          <w:color w:val="3B66BC"/>
        </w:rPr>
        <w:t>Scope</w:t>
      </w:r>
    </w:p>
    <w:p w14:paraId="00000013" w14:textId="77777777" w:rsidR="00B87C1E" w:rsidRDefault="00000000">
      <w:r>
        <w:t xml:space="preserve">TASO will fund an independent evaluator from the </w:t>
      </w:r>
      <w:hyperlink r:id="rId11">
        <w:r>
          <w:rPr>
            <w:color w:val="1155CC"/>
            <w:u w:val="single"/>
          </w:rPr>
          <w:t>Panel of Evaluators</w:t>
        </w:r>
      </w:hyperlink>
      <w:r>
        <w:t xml:space="preserve"> to work with HEPs and develop </w:t>
      </w:r>
      <w:hyperlink r:id="rId12">
        <w:r>
          <w:rPr>
            <w:color w:val="1155CC"/>
            <w:u w:val="single"/>
          </w:rPr>
          <w:t xml:space="preserve">Core and Enhanced </w:t>
        </w:r>
        <w:proofErr w:type="spellStart"/>
        <w:r>
          <w:rPr>
            <w:color w:val="1155CC"/>
            <w:u w:val="single"/>
          </w:rPr>
          <w:t>ToCs</w:t>
        </w:r>
        <w:proofErr w:type="spellEnd"/>
      </w:hyperlink>
      <w:r>
        <w:t xml:space="preserve"> for interventions to address the ethnicity degree awarding gap. Once developed, these </w:t>
      </w:r>
      <w:proofErr w:type="spellStart"/>
      <w:r>
        <w:t>ToCs</w:t>
      </w:r>
      <w:proofErr w:type="spellEnd"/>
      <w:r>
        <w:t xml:space="preserve"> will be published and accessible for the wider sector to use. The independent evaluator will also build a concrete evaluation plan for each intervention, including recommendations on design, methodology, and data indicators that map onto the </w:t>
      </w:r>
      <w:proofErr w:type="spellStart"/>
      <w:r>
        <w:t>ToC</w:t>
      </w:r>
      <w:proofErr w:type="spellEnd"/>
      <w:r>
        <w:t xml:space="preserve">. </w:t>
      </w:r>
    </w:p>
    <w:p w14:paraId="00000014" w14:textId="77777777" w:rsidR="00B87C1E" w:rsidRDefault="00B87C1E"/>
    <w:p w14:paraId="00000015" w14:textId="77777777" w:rsidR="00B87C1E" w:rsidRDefault="00000000">
      <w:r>
        <w:t xml:space="preserve">The </w:t>
      </w:r>
      <w:proofErr w:type="gramStart"/>
      <w:r>
        <w:t>aforementioned report</w:t>
      </w:r>
      <w:proofErr w:type="gramEnd"/>
      <w:r>
        <w:t xml:space="preserve"> identified 16 broad approach types addressing the ethnicity degree awarding gap, as outlined in the table below. We welcome submissions for interventions that are not mentioned but will prioritise widely used interventions and ensure that a range of approaches are chosen. </w:t>
      </w:r>
    </w:p>
    <w:p w14:paraId="00000016" w14:textId="77777777" w:rsidR="00B87C1E" w:rsidRDefault="00B87C1E"/>
    <w:p w14:paraId="00000017" w14:textId="77777777" w:rsidR="00B87C1E" w:rsidRDefault="00000000">
      <w:pPr>
        <w:rPr>
          <w:i/>
          <w:color w:val="4472C4"/>
          <w:sz w:val="20"/>
          <w:szCs w:val="20"/>
        </w:rPr>
      </w:pPr>
      <w:bookmarkStart w:id="2" w:name="bookmark=id.exb9ipaiy026" w:colFirst="0" w:colLast="0"/>
      <w:bookmarkEnd w:id="2"/>
      <w:r>
        <w:rPr>
          <w:i/>
          <w:color w:val="4472C4"/>
          <w:sz w:val="20"/>
          <w:szCs w:val="20"/>
        </w:rPr>
        <w:t>Table 1. Approaches identified which aim to address the ethnicity degree awarding gap.</w:t>
      </w:r>
    </w:p>
    <w:tbl>
      <w:tblPr>
        <w:tblStyle w:val="ab"/>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6"/>
        <w:gridCol w:w="6974"/>
      </w:tblGrid>
      <w:tr w:rsidR="00B87C1E" w14:paraId="54C0FC28" w14:textId="77777777">
        <w:tc>
          <w:tcPr>
            <w:tcW w:w="2366"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00000018" w14:textId="77777777" w:rsidR="00B87C1E" w:rsidRDefault="00000000">
            <w:pPr>
              <w:spacing w:line="240" w:lineRule="auto"/>
              <w:rPr>
                <w:rFonts w:ascii="Times New Roman" w:eastAsia="Times New Roman" w:hAnsi="Times New Roman" w:cs="Times New Roman"/>
                <w:color w:val="FFFFFF"/>
              </w:rPr>
            </w:pPr>
            <w:r>
              <w:rPr>
                <w:b/>
                <w:color w:val="FFFFFF"/>
              </w:rPr>
              <w:t>Approach</w:t>
            </w:r>
          </w:p>
        </w:tc>
        <w:tc>
          <w:tcPr>
            <w:tcW w:w="6974"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00000019" w14:textId="77777777" w:rsidR="00B87C1E" w:rsidRDefault="00000000">
            <w:pPr>
              <w:spacing w:line="240" w:lineRule="auto"/>
              <w:rPr>
                <w:rFonts w:ascii="Times New Roman" w:eastAsia="Times New Roman" w:hAnsi="Times New Roman" w:cs="Times New Roman"/>
                <w:color w:val="FFFFFF"/>
              </w:rPr>
            </w:pPr>
            <w:r>
              <w:rPr>
                <w:b/>
                <w:color w:val="FFFFFF"/>
              </w:rPr>
              <w:t>Description</w:t>
            </w:r>
          </w:p>
        </w:tc>
      </w:tr>
      <w:tr w:rsidR="00B87C1E" w14:paraId="0A967DD9" w14:textId="77777777">
        <w:tc>
          <w:tcPr>
            <w:tcW w:w="2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A" w14:textId="77777777" w:rsidR="00B87C1E" w:rsidRDefault="00000000">
            <w:pPr>
              <w:spacing w:line="240" w:lineRule="auto"/>
              <w:rPr>
                <w:rFonts w:ascii="Times New Roman" w:eastAsia="Times New Roman" w:hAnsi="Times New Roman" w:cs="Times New Roman"/>
              </w:rPr>
            </w:pPr>
            <w:r>
              <w:t>Adapting assessment practice</w:t>
            </w:r>
          </w:p>
        </w:tc>
        <w:tc>
          <w:tcPr>
            <w:tcW w:w="6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B" w14:textId="77777777" w:rsidR="00B87C1E" w:rsidRDefault="00000000">
            <w:pPr>
              <w:spacing w:line="240" w:lineRule="auto"/>
              <w:rPr>
                <w:rFonts w:ascii="Times New Roman" w:eastAsia="Times New Roman" w:hAnsi="Times New Roman" w:cs="Times New Roman"/>
              </w:rPr>
            </w:pPr>
            <w:r>
              <w:t>Reforming the assessment format or assessment processes.</w:t>
            </w:r>
          </w:p>
        </w:tc>
      </w:tr>
      <w:tr w:rsidR="00B87C1E" w14:paraId="4A66B636" w14:textId="77777777">
        <w:tc>
          <w:tcPr>
            <w:tcW w:w="2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C" w14:textId="77777777" w:rsidR="00B87C1E" w:rsidRDefault="00000000">
            <w:pPr>
              <w:spacing w:line="240" w:lineRule="auto"/>
              <w:rPr>
                <w:rFonts w:ascii="Times New Roman" w:eastAsia="Times New Roman" w:hAnsi="Times New Roman" w:cs="Times New Roman"/>
              </w:rPr>
            </w:pPr>
            <w:r>
              <w:t>Raising awareness</w:t>
            </w:r>
          </w:p>
        </w:tc>
        <w:tc>
          <w:tcPr>
            <w:tcW w:w="6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D" w14:textId="77777777" w:rsidR="00B87C1E" w:rsidRDefault="00000000">
            <w:pPr>
              <w:spacing w:line="240" w:lineRule="auto"/>
              <w:rPr>
                <w:rFonts w:ascii="Times New Roman" w:eastAsia="Times New Roman" w:hAnsi="Times New Roman" w:cs="Times New Roman"/>
              </w:rPr>
            </w:pPr>
            <w:r>
              <w:t>Workshops and sessions to develop staff understanding of the awarding gaps and/or aspects of inequality faced by students.</w:t>
            </w:r>
          </w:p>
        </w:tc>
      </w:tr>
      <w:tr w:rsidR="00B87C1E" w14:paraId="6169214A" w14:textId="77777777">
        <w:tc>
          <w:tcPr>
            <w:tcW w:w="2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E" w14:textId="77777777" w:rsidR="00B87C1E" w:rsidRDefault="00000000">
            <w:pPr>
              <w:spacing w:line="240" w:lineRule="auto"/>
              <w:rPr>
                <w:rFonts w:ascii="Times New Roman" w:eastAsia="Times New Roman" w:hAnsi="Times New Roman" w:cs="Times New Roman"/>
              </w:rPr>
            </w:pPr>
            <w:r>
              <w:t>Developing curricula</w:t>
            </w:r>
          </w:p>
        </w:tc>
        <w:tc>
          <w:tcPr>
            <w:tcW w:w="6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F" w14:textId="77777777" w:rsidR="00B87C1E" w:rsidRDefault="00000000">
            <w:pPr>
              <w:spacing w:line="240" w:lineRule="auto"/>
              <w:rPr>
                <w:rFonts w:ascii="Times New Roman" w:eastAsia="Times New Roman" w:hAnsi="Times New Roman" w:cs="Times New Roman"/>
              </w:rPr>
            </w:pPr>
            <w:r>
              <w:t>Reforming the curriculum, including inclusive curricula and decolonising reading lists.</w:t>
            </w:r>
          </w:p>
        </w:tc>
      </w:tr>
      <w:tr w:rsidR="00B87C1E" w14:paraId="192EEE66" w14:textId="77777777">
        <w:tc>
          <w:tcPr>
            <w:tcW w:w="2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0" w14:textId="77777777" w:rsidR="00B87C1E" w:rsidRDefault="00000000">
            <w:pPr>
              <w:spacing w:line="240" w:lineRule="auto"/>
              <w:rPr>
                <w:rFonts w:ascii="Times New Roman" w:eastAsia="Times New Roman" w:hAnsi="Times New Roman" w:cs="Times New Roman"/>
              </w:rPr>
            </w:pPr>
            <w:r>
              <w:t>Running events</w:t>
            </w:r>
          </w:p>
        </w:tc>
        <w:tc>
          <w:tcPr>
            <w:tcW w:w="6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1" w14:textId="77777777" w:rsidR="00B87C1E" w:rsidRDefault="00000000">
            <w:pPr>
              <w:spacing w:line="240" w:lineRule="auto"/>
              <w:rPr>
                <w:rFonts w:ascii="Times New Roman" w:eastAsia="Times New Roman" w:hAnsi="Times New Roman" w:cs="Times New Roman"/>
              </w:rPr>
            </w:pPr>
            <w:r>
              <w:t>Extra-curricular events for students.</w:t>
            </w:r>
          </w:p>
        </w:tc>
      </w:tr>
      <w:tr w:rsidR="00B87C1E" w14:paraId="387C82B7" w14:textId="77777777">
        <w:tc>
          <w:tcPr>
            <w:tcW w:w="2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2" w14:textId="77777777" w:rsidR="00B87C1E" w:rsidRDefault="00000000">
            <w:pPr>
              <w:spacing w:line="240" w:lineRule="auto"/>
              <w:rPr>
                <w:rFonts w:ascii="Times New Roman" w:eastAsia="Times New Roman" w:hAnsi="Times New Roman" w:cs="Times New Roman"/>
              </w:rPr>
            </w:pPr>
            <w:r>
              <w:t>Modifying leadership practice</w:t>
            </w:r>
          </w:p>
        </w:tc>
        <w:tc>
          <w:tcPr>
            <w:tcW w:w="6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3" w14:textId="77777777" w:rsidR="00B87C1E" w:rsidRDefault="00000000">
            <w:pPr>
              <w:spacing w:line="240" w:lineRule="auto"/>
              <w:rPr>
                <w:rFonts w:ascii="Times New Roman" w:eastAsia="Times New Roman" w:hAnsi="Times New Roman" w:cs="Times New Roman"/>
              </w:rPr>
            </w:pPr>
            <w:r>
              <w:t>Senior leadership teams adapting leadership structures and/or culture.</w:t>
            </w:r>
          </w:p>
        </w:tc>
      </w:tr>
      <w:tr w:rsidR="00B87C1E" w14:paraId="1BAF8125" w14:textId="77777777">
        <w:tc>
          <w:tcPr>
            <w:tcW w:w="2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4" w14:textId="77777777" w:rsidR="00B87C1E" w:rsidRDefault="00000000">
            <w:pPr>
              <w:spacing w:line="240" w:lineRule="auto"/>
              <w:rPr>
                <w:rFonts w:ascii="Times New Roman" w:eastAsia="Times New Roman" w:hAnsi="Times New Roman" w:cs="Times New Roman"/>
              </w:rPr>
            </w:pPr>
            <w:r>
              <w:t>Using and developing learning analytics</w:t>
            </w:r>
          </w:p>
        </w:tc>
        <w:tc>
          <w:tcPr>
            <w:tcW w:w="6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5" w14:textId="77777777" w:rsidR="00B87C1E" w:rsidRDefault="00000000">
            <w:pPr>
              <w:spacing w:line="240" w:lineRule="auto"/>
              <w:rPr>
                <w:rFonts w:ascii="Times New Roman" w:eastAsia="Times New Roman" w:hAnsi="Times New Roman" w:cs="Times New Roman"/>
              </w:rPr>
            </w:pPr>
            <w:r>
              <w:t>Collecting, interrogating, and/or presenting quantitative data on the nature and extent of the awarding gap.</w:t>
            </w:r>
          </w:p>
        </w:tc>
      </w:tr>
      <w:tr w:rsidR="00B87C1E" w14:paraId="36FA3A0A" w14:textId="77777777">
        <w:tc>
          <w:tcPr>
            <w:tcW w:w="2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6" w14:textId="77777777" w:rsidR="00B87C1E" w:rsidRDefault="00000000">
            <w:pPr>
              <w:spacing w:line="240" w:lineRule="auto"/>
              <w:rPr>
                <w:rFonts w:ascii="Times New Roman" w:eastAsia="Times New Roman" w:hAnsi="Times New Roman" w:cs="Times New Roman"/>
              </w:rPr>
            </w:pPr>
            <w:r>
              <w:t>Providing peer learning and mentoring</w:t>
            </w:r>
          </w:p>
        </w:tc>
        <w:tc>
          <w:tcPr>
            <w:tcW w:w="6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7" w14:textId="77777777" w:rsidR="00B87C1E" w:rsidRDefault="00000000">
            <w:pPr>
              <w:spacing w:line="240" w:lineRule="auto"/>
              <w:rPr>
                <w:rFonts w:ascii="Times New Roman" w:eastAsia="Times New Roman" w:hAnsi="Times New Roman" w:cs="Times New Roman"/>
              </w:rPr>
            </w:pPr>
            <w:r>
              <w:t xml:space="preserve">Students supporting students as </w:t>
            </w:r>
            <w:proofErr w:type="gramStart"/>
            <w:r>
              <w:t>mentors, or</w:t>
            </w:r>
            <w:proofErr w:type="gramEnd"/>
            <w:r>
              <w:t xml:space="preserve"> learning from each other.</w:t>
            </w:r>
          </w:p>
        </w:tc>
      </w:tr>
      <w:tr w:rsidR="00B87C1E" w14:paraId="3891640E" w14:textId="77777777">
        <w:tc>
          <w:tcPr>
            <w:tcW w:w="2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8" w14:textId="77777777" w:rsidR="00B87C1E" w:rsidRDefault="00000000">
            <w:pPr>
              <w:spacing w:line="240" w:lineRule="auto"/>
              <w:rPr>
                <w:rFonts w:ascii="Times New Roman" w:eastAsia="Times New Roman" w:hAnsi="Times New Roman" w:cs="Times New Roman"/>
              </w:rPr>
            </w:pPr>
            <w:r>
              <w:t>Incorporating personalised support</w:t>
            </w:r>
          </w:p>
        </w:tc>
        <w:tc>
          <w:tcPr>
            <w:tcW w:w="6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9" w14:textId="77777777" w:rsidR="00B87C1E" w:rsidRDefault="00000000">
            <w:pPr>
              <w:spacing w:line="240" w:lineRule="auto"/>
              <w:rPr>
                <w:rFonts w:ascii="Times New Roman" w:eastAsia="Times New Roman" w:hAnsi="Times New Roman" w:cs="Times New Roman"/>
              </w:rPr>
            </w:pPr>
            <w:r>
              <w:t>Staff supporting students through one-to-one activities, including coaching, mentoring, or tutoring.</w:t>
            </w:r>
          </w:p>
        </w:tc>
      </w:tr>
      <w:tr w:rsidR="00B87C1E" w14:paraId="3CB83F6F" w14:textId="77777777">
        <w:tc>
          <w:tcPr>
            <w:tcW w:w="2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A" w14:textId="77777777" w:rsidR="00B87C1E" w:rsidRDefault="00000000">
            <w:pPr>
              <w:spacing w:line="240" w:lineRule="auto"/>
              <w:rPr>
                <w:rFonts w:ascii="Times New Roman" w:eastAsia="Times New Roman" w:hAnsi="Times New Roman" w:cs="Times New Roman"/>
              </w:rPr>
            </w:pPr>
            <w:r>
              <w:t>Recruiting staff</w:t>
            </w:r>
          </w:p>
        </w:tc>
        <w:tc>
          <w:tcPr>
            <w:tcW w:w="6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B" w14:textId="77777777" w:rsidR="00B87C1E" w:rsidRDefault="00000000">
            <w:pPr>
              <w:spacing w:line="240" w:lineRule="auto"/>
              <w:rPr>
                <w:rFonts w:ascii="Times New Roman" w:eastAsia="Times New Roman" w:hAnsi="Times New Roman" w:cs="Times New Roman"/>
              </w:rPr>
            </w:pPr>
            <w:r>
              <w:t>Staff recruitment drives, typically to recruit staff from more ethnically diverse backgrounds.</w:t>
            </w:r>
          </w:p>
        </w:tc>
      </w:tr>
      <w:tr w:rsidR="00B87C1E" w14:paraId="036650B5" w14:textId="77777777">
        <w:tc>
          <w:tcPr>
            <w:tcW w:w="2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C" w14:textId="77777777" w:rsidR="00B87C1E" w:rsidRDefault="00000000">
            <w:pPr>
              <w:spacing w:line="240" w:lineRule="auto"/>
              <w:rPr>
                <w:rFonts w:ascii="Times New Roman" w:eastAsia="Times New Roman" w:hAnsi="Times New Roman" w:cs="Times New Roman"/>
              </w:rPr>
            </w:pPr>
            <w:r>
              <w:lastRenderedPageBreak/>
              <w:t>Building knowledge</w:t>
            </w:r>
          </w:p>
        </w:tc>
        <w:tc>
          <w:tcPr>
            <w:tcW w:w="6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D" w14:textId="77777777" w:rsidR="00B87C1E" w:rsidRDefault="00000000">
            <w:pPr>
              <w:spacing w:line="240" w:lineRule="auto"/>
              <w:rPr>
                <w:rFonts w:ascii="Times New Roman" w:eastAsia="Times New Roman" w:hAnsi="Times New Roman" w:cs="Times New Roman"/>
              </w:rPr>
            </w:pPr>
            <w:r>
              <w:t>Undertaking research, evaluation, or other activities to build providers’ knowledge and understanding around the EDAG (are distinct from learning analytics).</w:t>
            </w:r>
          </w:p>
        </w:tc>
      </w:tr>
      <w:tr w:rsidR="00B87C1E" w14:paraId="0732D8E5" w14:textId="77777777">
        <w:tc>
          <w:tcPr>
            <w:tcW w:w="2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E" w14:textId="77777777" w:rsidR="00B87C1E" w:rsidRDefault="00000000">
            <w:pPr>
              <w:spacing w:line="240" w:lineRule="auto"/>
              <w:rPr>
                <w:rFonts w:ascii="Times New Roman" w:eastAsia="Times New Roman" w:hAnsi="Times New Roman" w:cs="Times New Roman"/>
              </w:rPr>
            </w:pPr>
            <w:r>
              <w:t>Producing resources</w:t>
            </w:r>
          </w:p>
        </w:tc>
        <w:tc>
          <w:tcPr>
            <w:tcW w:w="6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F" w14:textId="77777777" w:rsidR="00B87C1E" w:rsidRDefault="00000000">
            <w:pPr>
              <w:spacing w:line="240" w:lineRule="auto"/>
              <w:rPr>
                <w:rFonts w:ascii="Times New Roman" w:eastAsia="Times New Roman" w:hAnsi="Times New Roman" w:cs="Times New Roman"/>
              </w:rPr>
            </w:pPr>
            <w:r>
              <w:t>Developing guides for staff and/or students.</w:t>
            </w:r>
          </w:p>
        </w:tc>
      </w:tr>
      <w:tr w:rsidR="00B87C1E" w14:paraId="44B771F4" w14:textId="77777777">
        <w:tc>
          <w:tcPr>
            <w:tcW w:w="2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0" w14:textId="77777777" w:rsidR="00B87C1E" w:rsidRDefault="00000000">
            <w:pPr>
              <w:spacing w:line="240" w:lineRule="auto"/>
              <w:rPr>
                <w:rFonts w:ascii="Times New Roman" w:eastAsia="Times New Roman" w:hAnsi="Times New Roman" w:cs="Times New Roman"/>
              </w:rPr>
            </w:pPr>
            <w:r>
              <w:t>Developing staff skills</w:t>
            </w:r>
          </w:p>
        </w:tc>
        <w:tc>
          <w:tcPr>
            <w:tcW w:w="6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1" w14:textId="77777777" w:rsidR="00B87C1E" w:rsidRDefault="00000000">
            <w:pPr>
              <w:spacing w:line="240" w:lineRule="auto"/>
              <w:rPr>
                <w:rFonts w:ascii="Times New Roman" w:eastAsia="Times New Roman" w:hAnsi="Times New Roman" w:cs="Times New Roman"/>
              </w:rPr>
            </w:pPr>
            <w:r>
              <w:t>Events and activities to support staff skill development.</w:t>
            </w:r>
          </w:p>
        </w:tc>
      </w:tr>
      <w:tr w:rsidR="00B87C1E" w14:paraId="4C9B7049" w14:textId="77777777">
        <w:tc>
          <w:tcPr>
            <w:tcW w:w="2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2" w14:textId="77777777" w:rsidR="00B87C1E" w:rsidRDefault="00000000">
            <w:pPr>
              <w:spacing w:line="240" w:lineRule="auto"/>
              <w:rPr>
                <w:rFonts w:ascii="Times New Roman" w:eastAsia="Times New Roman" w:hAnsi="Times New Roman" w:cs="Times New Roman"/>
              </w:rPr>
            </w:pPr>
            <w:r>
              <w:t>Adapting structural processes</w:t>
            </w:r>
          </w:p>
        </w:tc>
        <w:tc>
          <w:tcPr>
            <w:tcW w:w="6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3" w14:textId="77777777" w:rsidR="00B87C1E" w:rsidRDefault="00000000">
            <w:pPr>
              <w:spacing w:line="240" w:lineRule="auto"/>
              <w:rPr>
                <w:rFonts w:ascii="Times New Roman" w:eastAsia="Times New Roman" w:hAnsi="Times New Roman" w:cs="Times New Roman"/>
              </w:rPr>
            </w:pPr>
            <w:r>
              <w:t>Developing the physical and policy structure of the provider.</w:t>
            </w:r>
          </w:p>
        </w:tc>
      </w:tr>
      <w:tr w:rsidR="00B87C1E" w14:paraId="022F87C6" w14:textId="77777777">
        <w:tc>
          <w:tcPr>
            <w:tcW w:w="2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4" w14:textId="77777777" w:rsidR="00B87C1E" w:rsidRDefault="00000000">
            <w:pPr>
              <w:spacing w:line="240" w:lineRule="auto"/>
              <w:rPr>
                <w:rFonts w:ascii="Times New Roman" w:eastAsia="Times New Roman" w:hAnsi="Times New Roman" w:cs="Times New Roman"/>
              </w:rPr>
            </w:pPr>
            <w:r>
              <w:t>Supporting students</w:t>
            </w:r>
          </w:p>
        </w:tc>
        <w:tc>
          <w:tcPr>
            <w:tcW w:w="6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5" w14:textId="77777777" w:rsidR="00B87C1E" w:rsidRDefault="00000000">
            <w:pPr>
              <w:spacing w:line="240" w:lineRule="auto"/>
              <w:rPr>
                <w:rFonts w:ascii="Times New Roman" w:eastAsia="Times New Roman" w:hAnsi="Times New Roman" w:cs="Times New Roman"/>
              </w:rPr>
            </w:pPr>
            <w:r>
              <w:t>Specific sessions or staff made available to support students (</w:t>
            </w:r>
            <w:proofErr w:type="gramStart"/>
            <w:r>
              <w:t>e.g.</w:t>
            </w:r>
            <w:proofErr w:type="gramEnd"/>
            <w:r>
              <w:t xml:space="preserve"> workshops, tutorials). These are distinct from personalised support as they are not tailored to specific students.</w:t>
            </w:r>
          </w:p>
        </w:tc>
      </w:tr>
      <w:tr w:rsidR="00B87C1E" w14:paraId="747875F1" w14:textId="77777777">
        <w:tc>
          <w:tcPr>
            <w:tcW w:w="2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6" w14:textId="77777777" w:rsidR="00B87C1E" w:rsidRDefault="00000000">
            <w:pPr>
              <w:spacing w:line="240" w:lineRule="auto"/>
              <w:rPr>
                <w:rFonts w:ascii="Times New Roman" w:eastAsia="Times New Roman" w:hAnsi="Times New Roman" w:cs="Times New Roman"/>
              </w:rPr>
            </w:pPr>
            <w:r>
              <w:t>Training students as allies</w:t>
            </w:r>
          </w:p>
        </w:tc>
        <w:tc>
          <w:tcPr>
            <w:tcW w:w="6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7" w14:textId="77777777" w:rsidR="00B87C1E" w:rsidRDefault="00000000">
            <w:pPr>
              <w:spacing w:line="240" w:lineRule="auto"/>
              <w:rPr>
                <w:rFonts w:ascii="Times New Roman" w:eastAsia="Times New Roman" w:hAnsi="Times New Roman" w:cs="Times New Roman"/>
              </w:rPr>
            </w:pPr>
            <w:r>
              <w:t>Awareness raising in the student population, including training.</w:t>
            </w:r>
          </w:p>
        </w:tc>
      </w:tr>
      <w:tr w:rsidR="00B87C1E" w14:paraId="4C51958A" w14:textId="77777777">
        <w:tc>
          <w:tcPr>
            <w:tcW w:w="2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8" w14:textId="77777777" w:rsidR="00B87C1E" w:rsidRDefault="00000000">
            <w:pPr>
              <w:spacing w:line="240" w:lineRule="auto"/>
              <w:rPr>
                <w:rFonts w:ascii="Times New Roman" w:eastAsia="Times New Roman" w:hAnsi="Times New Roman" w:cs="Times New Roman"/>
              </w:rPr>
            </w:pPr>
            <w:r>
              <w:t>Harnessing student voice</w:t>
            </w:r>
          </w:p>
        </w:tc>
        <w:tc>
          <w:tcPr>
            <w:tcW w:w="6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9" w14:textId="77777777" w:rsidR="00B87C1E" w:rsidRDefault="00000000">
            <w:pPr>
              <w:spacing w:line="240" w:lineRule="auto"/>
              <w:rPr>
                <w:rFonts w:ascii="Times New Roman" w:eastAsia="Times New Roman" w:hAnsi="Times New Roman" w:cs="Times New Roman"/>
              </w:rPr>
            </w:pPr>
            <w:r>
              <w:t>Seeking and using student feedback in organisational discussions and/or decisions.</w:t>
            </w:r>
          </w:p>
        </w:tc>
      </w:tr>
    </w:tbl>
    <w:p w14:paraId="0000003A" w14:textId="77777777" w:rsidR="00B87C1E" w:rsidRDefault="00B87C1E">
      <w:pPr>
        <w:rPr>
          <w:b/>
          <w:color w:val="3B66BC"/>
          <w:sz w:val="24"/>
          <w:szCs w:val="24"/>
        </w:rPr>
      </w:pPr>
    </w:p>
    <w:p w14:paraId="0000003B" w14:textId="77777777" w:rsidR="00B87C1E" w:rsidRDefault="00000000">
      <w:pPr>
        <w:rPr>
          <w:b/>
          <w:color w:val="3B66BC"/>
        </w:rPr>
      </w:pPr>
      <w:r>
        <w:rPr>
          <w:b/>
          <w:color w:val="3B66BC"/>
        </w:rPr>
        <w:t>Expectations for participating HEPs</w:t>
      </w:r>
    </w:p>
    <w:p w14:paraId="0000003C" w14:textId="77777777" w:rsidR="00B87C1E" w:rsidRDefault="00000000">
      <w:pPr>
        <w:numPr>
          <w:ilvl w:val="0"/>
          <w:numId w:val="3"/>
        </w:numPr>
      </w:pPr>
      <w:r>
        <w:t xml:space="preserve">TASO will select up to six proposals. </w:t>
      </w:r>
    </w:p>
    <w:p w14:paraId="0000003D" w14:textId="77777777" w:rsidR="00B87C1E" w:rsidRDefault="00000000">
      <w:pPr>
        <w:numPr>
          <w:ilvl w:val="0"/>
          <w:numId w:val="3"/>
        </w:numPr>
      </w:pPr>
      <w:r>
        <w:t>We are simultaneously issuing a call to our independent Panel of Evaluators who will be invited to bid for the provision of evaluation support (funded by TASO).</w:t>
      </w:r>
    </w:p>
    <w:p w14:paraId="0000003E" w14:textId="77777777" w:rsidR="00B87C1E" w:rsidRDefault="00000000">
      <w:pPr>
        <w:numPr>
          <w:ilvl w:val="0"/>
          <w:numId w:val="3"/>
        </w:numPr>
      </w:pPr>
      <w:r>
        <w:t>Evaluation support from independent evaluators will take place over a three-month period from September to November 2023.</w:t>
      </w:r>
    </w:p>
    <w:p w14:paraId="0000003F" w14:textId="77777777" w:rsidR="00B87C1E" w:rsidRDefault="00000000">
      <w:pPr>
        <w:numPr>
          <w:ilvl w:val="0"/>
          <w:numId w:val="3"/>
        </w:numPr>
      </w:pPr>
      <w:r>
        <w:t xml:space="preserve">Successful HEPs will work directly with TASO and an independent evaluator from the panel to develop the </w:t>
      </w:r>
      <w:proofErr w:type="spellStart"/>
      <w:r>
        <w:t>ToC</w:t>
      </w:r>
      <w:proofErr w:type="spellEnd"/>
      <w:r>
        <w:t xml:space="preserve">. </w:t>
      </w:r>
    </w:p>
    <w:p w14:paraId="00000040" w14:textId="77777777" w:rsidR="00B87C1E" w:rsidRDefault="00000000">
      <w:pPr>
        <w:numPr>
          <w:ilvl w:val="0"/>
          <w:numId w:val="3"/>
        </w:numPr>
      </w:pPr>
      <w:r>
        <w:t xml:space="preserve">Successful HEPs will be expected to commit time and resourcing to the </w:t>
      </w:r>
      <w:proofErr w:type="spellStart"/>
      <w:r>
        <w:t>ToC</w:t>
      </w:r>
      <w:proofErr w:type="spellEnd"/>
      <w:r>
        <w:t xml:space="preserve"> development, including through meetings, workshops and reviewing of outputs. Table 2 details how project activities and responsibilities will be split across the three organisations involved in the project. </w:t>
      </w:r>
    </w:p>
    <w:p w14:paraId="00000041" w14:textId="77777777" w:rsidR="00B87C1E" w:rsidRDefault="00B87C1E">
      <w:pPr>
        <w:spacing w:before="60" w:after="100" w:line="264" w:lineRule="auto"/>
        <w:ind w:right="100"/>
      </w:pPr>
    </w:p>
    <w:p w14:paraId="00000042" w14:textId="77777777" w:rsidR="00B87C1E" w:rsidRDefault="00000000">
      <w:pPr>
        <w:spacing w:before="60" w:after="100" w:line="264" w:lineRule="auto"/>
        <w:ind w:right="100"/>
        <w:rPr>
          <w:i/>
          <w:color w:val="4472C4"/>
          <w:sz w:val="20"/>
          <w:szCs w:val="20"/>
        </w:rPr>
      </w:pPr>
      <w:bookmarkStart w:id="3" w:name="bookmark=id.i5gxoba75ncp" w:colFirst="0" w:colLast="0"/>
      <w:bookmarkEnd w:id="3"/>
      <w:r>
        <w:rPr>
          <w:i/>
          <w:color w:val="4472C4"/>
          <w:sz w:val="20"/>
          <w:szCs w:val="20"/>
        </w:rPr>
        <w:t>Table 2. Partner responsibilities</w:t>
      </w:r>
    </w:p>
    <w:tbl>
      <w:tblPr>
        <w:tblStyle w:val="ac"/>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10"/>
        <w:gridCol w:w="1695"/>
        <w:gridCol w:w="1815"/>
        <w:gridCol w:w="1695"/>
      </w:tblGrid>
      <w:tr w:rsidR="00B87C1E" w14:paraId="70E2AAC4" w14:textId="77777777">
        <w:trPr>
          <w:trHeight w:val="545"/>
        </w:trPr>
        <w:tc>
          <w:tcPr>
            <w:tcW w:w="3810" w:type="dxa"/>
            <w:shd w:val="clear" w:color="auto" w:fill="4472C4"/>
            <w:tcMar>
              <w:top w:w="100" w:type="dxa"/>
              <w:left w:w="100" w:type="dxa"/>
              <w:bottom w:w="100" w:type="dxa"/>
              <w:right w:w="100" w:type="dxa"/>
            </w:tcMar>
          </w:tcPr>
          <w:p w14:paraId="00000043" w14:textId="77777777" w:rsidR="00B87C1E" w:rsidRDefault="00000000">
            <w:pPr>
              <w:rPr>
                <w:color w:val="FFFFFF"/>
              </w:rPr>
            </w:pPr>
            <w:r>
              <w:rPr>
                <w:color w:val="FFFFFF"/>
              </w:rPr>
              <w:t xml:space="preserve"> </w:t>
            </w:r>
          </w:p>
        </w:tc>
        <w:tc>
          <w:tcPr>
            <w:tcW w:w="1695" w:type="dxa"/>
            <w:shd w:val="clear" w:color="auto" w:fill="4472C4"/>
            <w:tcMar>
              <w:top w:w="100" w:type="dxa"/>
              <w:left w:w="100" w:type="dxa"/>
              <w:bottom w:w="100" w:type="dxa"/>
              <w:right w:w="100" w:type="dxa"/>
            </w:tcMar>
          </w:tcPr>
          <w:p w14:paraId="00000044" w14:textId="77777777" w:rsidR="00B87C1E" w:rsidRDefault="00000000">
            <w:pPr>
              <w:jc w:val="center"/>
              <w:rPr>
                <w:b/>
                <w:color w:val="FFFFFF"/>
              </w:rPr>
            </w:pPr>
            <w:r>
              <w:rPr>
                <w:b/>
                <w:color w:val="FFFFFF"/>
              </w:rPr>
              <w:t>HEP</w:t>
            </w:r>
          </w:p>
        </w:tc>
        <w:tc>
          <w:tcPr>
            <w:tcW w:w="1815" w:type="dxa"/>
            <w:shd w:val="clear" w:color="auto" w:fill="4472C4"/>
            <w:tcMar>
              <w:top w:w="100" w:type="dxa"/>
              <w:left w:w="100" w:type="dxa"/>
              <w:bottom w:w="100" w:type="dxa"/>
              <w:right w:w="100" w:type="dxa"/>
            </w:tcMar>
          </w:tcPr>
          <w:p w14:paraId="00000045" w14:textId="77777777" w:rsidR="00B87C1E" w:rsidRDefault="00000000">
            <w:pPr>
              <w:jc w:val="center"/>
              <w:rPr>
                <w:b/>
                <w:color w:val="FFFFFF"/>
              </w:rPr>
            </w:pPr>
            <w:r>
              <w:rPr>
                <w:b/>
                <w:color w:val="FFFFFF"/>
              </w:rPr>
              <w:t>Independent evaluator</w:t>
            </w:r>
          </w:p>
        </w:tc>
        <w:tc>
          <w:tcPr>
            <w:tcW w:w="1695" w:type="dxa"/>
            <w:shd w:val="clear" w:color="auto" w:fill="4472C4"/>
            <w:tcMar>
              <w:top w:w="100" w:type="dxa"/>
              <w:left w:w="100" w:type="dxa"/>
              <w:bottom w:w="100" w:type="dxa"/>
              <w:right w:w="100" w:type="dxa"/>
            </w:tcMar>
          </w:tcPr>
          <w:p w14:paraId="00000046" w14:textId="77777777" w:rsidR="00B87C1E" w:rsidRDefault="00000000">
            <w:pPr>
              <w:jc w:val="center"/>
              <w:rPr>
                <w:b/>
                <w:color w:val="FFFFFF"/>
              </w:rPr>
            </w:pPr>
            <w:r>
              <w:rPr>
                <w:b/>
                <w:color w:val="FFFFFF"/>
              </w:rPr>
              <w:t>TASO</w:t>
            </w:r>
          </w:p>
        </w:tc>
      </w:tr>
      <w:tr w:rsidR="00B87C1E" w14:paraId="42BE2706" w14:textId="77777777">
        <w:trPr>
          <w:trHeight w:val="403"/>
        </w:trPr>
        <w:tc>
          <w:tcPr>
            <w:tcW w:w="3810" w:type="dxa"/>
            <w:tcMar>
              <w:top w:w="100" w:type="dxa"/>
              <w:left w:w="100" w:type="dxa"/>
              <w:bottom w:w="100" w:type="dxa"/>
              <w:right w:w="100" w:type="dxa"/>
            </w:tcMar>
          </w:tcPr>
          <w:p w14:paraId="00000047" w14:textId="77777777" w:rsidR="00B87C1E" w:rsidRDefault="00000000">
            <w:pPr>
              <w:rPr>
                <w:color w:val="0E101A"/>
              </w:rPr>
            </w:pPr>
            <w:r>
              <w:rPr>
                <w:color w:val="0E101A"/>
              </w:rPr>
              <w:t xml:space="preserve">Contract management </w:t>
            </w:r>
          </w:p>
        </w:tc>
        <w:tc>
          <w:tcPr>
            <w:tcW w:w="1695" w:type="dxa"/>
            <w:tcMar>
              <w:top w:w="100" w:type="dxa"/>
              <w:left w:w="100" w:type="dxa"/>
              <w:bottom w:w="100" w:type="dxa"/>
              <w:right w:w="100" w:type="dxa"/>
            </w:tcMar>
          </w:tcPr>
          <w:p w14:paraId="00000048" w14:textId="77777777" w:rsidR="00B87C1E" w:rsidRDefault="00B87C1E">
            <w:pPr>
              <w:jc w:val="center"/>
              <w:rPr>
                <w:color w:val="0E101A"/>
              </w:rPr>
            </w:pPr>
          </w:p>
        </w:tc>
        <w:tc>
          <w:tcPr>
            <w:tcW w:w="1815" w:type="dxa"/>
            <w:tcMar>
              <w:top w:w="100" w:type="dxa"/>
              <w:left w:w="100" w:type="dxa"/>
              <w:bottom w:w="100" w:type="dxa"/>
              <w:right w:w="100" w:type="dxa"/>
            </w:tcMar>
          </w:tcPr>
          <w:p w14:paraId="00000049" w14:textId="77777777" w:rsidR="00B87C1E" w:rsidRDefault="00000000">
            <w:pPr>
              <w:jc w:val="center"/>
              <w:rPr>
                <w:color w:val="0E101A"/>
              </w:rPr>
            </w:pPr>
            <w:r>
              <w:rPr>
                <w:color w:val="0E101A"/>
              </w:rPr>
              <w:t xml:space="preserve"> </w:t>
            </w:r>
          </w:p>
        </w:tc>
        <w:tc>
          <w:tcPr>
            <w:tcW w:w="1695" w:type="dxa"/>
            <w:tcMar>
              <w:top w:w="100" w:type="dxa"/>
              <w:left w:w="100" w:type="dxa"/>
              <w:bottom w:w="100" w:type="dxa"/>
              <w:right w:w="100" w:type="dxa"/>
            </w:tcMar>
          </w:tcPr>
          <w:p w14:paraId="0000004A" w14:textId="77777777" w:rsidR="00B87C1E" w:rsidRDefault="00000000">
            <w:pPr>
              <w:jc w:val="center"/>
              <w:rPr>
                <w:color w:val="0E101A"/>
              </w:rPr>
            </w:pPr>
            <w:r>
              <w:rPr>
                <w:color w:val="0E101A"/>
              </w:rPr>
              <w:t>Lead</w:t>
            </w:r>
          </w:p>
        </w:tc>
      </w:tr>
      <w:tr w:rsidR="00B87C1E" w14:paraId="13EBFAE8" w14:textId="77777777">
        <w:trPr>
          <w:trHeight w:val="359"/>
        </w:trPr>
        <w:tc>
          <w:tcPr>
            <w:tcW w:w="3810" w:type="dxa"/>
            <w:tcMar>
              <w:top w:w="100" w:type="dxa"/>
              <w:left w:w="100" w:type="dxa"/>
              <w:bottom w:w="100" w:type="dxa"/>
              <w:right w:w="100" w:type="dxa"/>
            </w:tcMar>
          </w:tcPr>
          <w:p w14:paraId="0000004B" w14:textId="77777777" w:rsidR="00B87C1E" w:rsidRDefault="00000000">
            <w:pPr>
              <w:rPr>
                <w:color w:val="0E101A"/>
              </w:rPr>
            </w:pPr>
            <w:r>
              <w:rPr>
                <w:color w:val="0E101A"/>
              </w:rPr>
              <w:t xml:space="preserve">Project management </w:t>
            </w:r>
          </w:p>
        </w:tc>
        <w:tc>
          <w:tcPr>
            <w:tcW w:w="1695" w:type="dxa"/>
            <w:tcMar>
              <w:top w:w="100" w:type="dxa"/>
              <w:left w:w="100" w:type="dxa"/>
              <w:bottom w:w="100" w:type="dxa"/>
              <w:right w:w="100" w:type="dxa"/>
            </w:tcMar>
          </w:tcPr>
          <w:p w14:paraId="0000004C" w14:textId="77777777" w:rsidR="00B87C1E" w:rsidRDefault="00000000">
            <w:pPr>
              <w:jc w:val="center"/>
              <w:rPr>
                <w:color w:val="0E101A"/>
              </w:rPr>
            </w:pPr>
            <w:r>
              <w:rPr>
                <w:color w:val="0E101A"/>
              </w:rPr>
              <w:t>Lead</w:t>
            </w:r>
          </w:p>
        </w:tc>
        <w:tc>
          <w:tcPr>
            <w:tcW w:w="1815" w:type="dxa"/>
            <w:tcMar>
              <w:top w:w="100" w:type="dxa"/>
              <w:left w:w="100" w:type="dxa"/>
              <w:bottom w:w="100" w:type="dxa"/>
              <w:right w:w="100" w:type="dxa"/>
            </w:tcMar>
          </w:tcPr>
          <w:p w14:paraId="0000004D" w14:textId="77777777" w:rsidR="00B87C1E" w:rsidRDefault="00000000">
            <w:pPr>
              <w:jc w:val="center"/>
              <w:rPr>
                <w:color w:val="0E101A"/>
              </w:rPr>
            </w:pPr>
            <w:r>
              <w:rPr>
                <w:color w:val="0E101A"/>
              </w:rPr>
              <w:t>Lead</w:t>
            </w:r>
          </w:p>
        </w:tc>
        <w:tc>
          <w:tcPr>
            <w:tcW w:w="1695" w:type="dxa"/>
            <w:tcMar>
              <w:top w:w="100" w:type="dxa"/>
              <w:left w:w="100" w:type="dxa"/>
              <w:bottom w:w="100" w:type="dxa"/>
              <w:right w:w="100" w:type="dxa"/>
            </w:tcMar>
          </w:tcPr>
          <w:p w14:paraId="0000004E" w14:textId="77777777" w:rsidR="00B87C1E" w:rsidRDefault="00000000">
            <w:pPr>
              <w:jc w:val="center"/>
              <w:rPr>
                <w:color w:val="0E101A"/>
              </w:rPr>
            </w:pPr>
            <w:r>
              <w:rPr>
                <w:color w:val="0E101A"/>
              </w:rPr>
              <w:t xml:space="preserve">Advise </w:t>
            </w:r>
          </w:p>
        </w:tc>
      </w:tr>
      <w:tr w:rsidR="00B87C1E" w14:paraId="5F055512" w14:textId="77777777">
        <w:trPr>
          <w:trHeight w:val="353"/>
        </w:trPr>
        <w:tc>
          <w:tcPr>
            <w:tcW w:w="3810" w:type="dxa"/>
            <w:tcMar>
              <w:top w:w="100" w:type="dxa"/>
              <w:left w:w="100" w:type="dxa"/>
              <w:bottom w:w="100" w:type="dxa"/>
              <w:right w:w="100" w:type="dxa"/>
            </w:tcMar>
          </w:tcPr>
          <w:p w14:paraId="0000004F" w14:textId="77777777" w:rsidR="00B87C1E" w:rsidRDefault="00000000">
            <w:pPr>
              <w:rPr>
                <w:color w:val="0E101A"/>
              </w:rPr>
            </w:pPr>
            <w:r>
              <w:rPr>
                <w:color w:val="0E101A"/>
              </w:rPr>
              <w:t xml:space="preserve">Expert, technical advice </w:t>
            </w:r>
          </w:p>
        </w:tc>
        <w:tc>
          <w:tcPr>
            <w:tcW w:w="1695" w:type="dxa"/>
            <w:tcMar>
              <w:top w:w="100" w:type="dxa"/>
              <w:left w:w="100" w:type="dxa"/>
              <w:bottom w:w="100" w:type="dxa"/>
              <w:right w:w="100" w:type="dxa"/>
            </w:tcMar>
          </w:tcPr>
          <w:p w14:paraId="00000050" w14:textId="77777777" w:rsidR="00B87C1E" w:rsidRDefault="00B87C1E">
            <w:pPr>
              <w:jc w:val="center"/>
              <w:rPr>
                <w:color w:val="0E101A"/>
              </w:rPr>
            </w:pPr>
          </w:p>
        </w:tc>
        <w:tc>
          <w:tcPr>
            <w:tcW w:w="1815" w:type="dxa"/>
            <w:tcMar>
              <w:top w:w="100" w:type="dxa"/>
              <w:left w:w="100" w:type="dxa"/>
              <w:bottom w:w="100" w:type="dxa"/>
              <w:right w:w="100" w:type="dxa"/>
            </w:tcMar>
          </w:tcPr>
          <w:p w14:paraId="00000051" w14:textId="77777777" w:rsidR="00B87C1E" w:rsidRDefault="00000000">
            <w:pPr>
              <w:jc w:val="center"/>
              <w:rPr>
                <w:color w:val="0E101A"/>
              </w:rPr>
            </w:pPr>
            <w:r>
              <w:rPr>
                <w:color w:val="0E101A"/>
              </w:rPr>
              <w:t>Lead</w:t>
            </w:r>
          </w:p>
        </w:tc>
        <w:tc>
          <w:tcPr>
            <w:tcW w:w="1695" w:type="dxa"/>
            <w:tcMar>
              <w:top w:w="100" w:type="dxa"/>
              <w:left w:w="100" w:type="dxa"/>
              <w:bottom w:w="100" w:type="dxa"/>
              <w:right w:w="100" w:type="dxa"/>
            </w:tcMar>
          </w:tcPr>
          <w:p w14:paraId="00000052" w14:textId="77777777" w:rsidR="00B87C1E" w:rsidRDefault="00000000">
            <w:pPr>
              <w:jc w:val="center"/>
              <w:rPr>
                <w:color w:val="0E101A"/>
              </w:rPr>
            </w:pPr>
            <w:r>
              <w:rPr>
                <w:color w:val="0E101A"/>
              </w:rPr>
              <w:t>Support</w:t>
            </w:r>
          </w:p>
        </w:tc>
      </w:tr>
      <w:tr w:rsidR="00B87C1E" w14:paraId="6A9D759E" w14:textId="77777777">
        <w:trPr>
          <w:trHeight w:val="362"/>
        </w:trPr>
        <w:tc>
          <w:tcPr>
            <w:tcW w:w="3810" w:type="dxa"/>
            <w:tcMar>
              <w:top w:w="100" w:type="dxa"/>
              <w:left w:w="100" w:type="dxa"/>
              <w:bottom w:w="100" w:type="dxa"/>
              <w:right w:w="100" w:type="dxa"/>
            </w:tcMar>
          </w:tcPr>
          <w:p w14:paraId="00000053" w14:textId="77777777" w:rsidR="00B87C1E" w:rsidRDefault="00000000">
            <w:pPr>
              <w:rPr>
                <w:color w:val="0E101A"/>
              </w:rPr>
            </w:pPr>
            <w:r>
              <w:rPr>
                <w:color w:val="0E101A"/>
              </w:rPr>
              <w:lastRenderedPageBreak/>
              <w:t xml:space="preserve">Conduct </w:t>
            </w:r>
            <w:proofErr w:type="spellStart"/>
            <w:r>
              <w:rPr>
                <w:color w:val="0E101A"/>
              </w:rPr>
              <w:t>ToC</w:t>
            </w:r>
            <w:proofErr w:type="spellEnd"/>
            <w:r>
              <w:rPr>
                <w:color w:val="0E101A"/>
              </w:rPr>
              <w:t xml:space="preserve"> workshops </w:t>
            </w:r>
          </w:p>
        </w:tc>
        <w:tc>
          <w:tcPr>
            <w:tcW w:w="1695" w:type="dxa"/>
            <w:tcMar>
              <w:top w:w="100" w:type="dxa"/>
              <w:left w:w="100" w:type="dxa"/>
              <w:bottom w:w="100" w:type="dxa"/>
              <w:right w:w="100" w:type="dxa"/>
            </w:tcMar>
          </w:tcPr>
          <w:p w14:paraId="00000054" w14:textId="77777777" w:rsidR="00B87C1E" w:rsidRDefault="00000000">
            <w:pPr>
              <w:jc w:val="center"/>
              <w:rPr>
                <w:color w:val="0E101A"/>
              </w:rPr>
            </w:pPr>
            <w:r>
              <w:rPr>
                <w:color w:val="0E101A"/>
              </w:rPr>
              <w:t>Participate</w:t>
            </w:r>
          </w:p>
        </w:tc>
        <w:tc>
          <w:tcPr>
            <w:tcW w:w="1815" w:type="dxa"/>
            <w:tcMar>
              <w:top w:w="100" w:type="dxa"/>
              <w:left w:w="100" w:type="dxa"/>
              <w:bottom w:w="100" w:type="dxa"/>
              <w:right w:w="100" w:type="dxa"/>
            </w:tcMar>
          </w:tcPr>
          <w:p w14:paraId="00000055" w14:textId="77777777" w:rsidR="00B87C1E" w:rsidRDefault="00000000">
            <w:pPr>
              <w:jc w:val="center"/>
              <w:rPr>
                <w:color w:val="0E101A"/>
              </w:rPr>
            </w:pPr>
            <w:r>
              <w:rPr>
                <w:color w:val="0E101A"/>
              </w:rPr>
              <w:t>Lead</w:t>
            </w:r>
          </w:p>
        </w:tc>
        <w:tc>
          <w:tcPr>
            <w:tcW w:w="1695" w:type="dxa"/>
            <w:tcMar>
              <w:top w:w="100" w:type="dxa"/>
              <w:left w:w="100" w:type="dxa"/>
              <w:bottom w:w="100" w:type="dxa"/>
              <w:right w:w="100" w:type="dxa"/>
            </w:tcMar>
          </w:tcPr>
          <w:p w14:paraId="00000056" w14:textId="77777777" w:rsidR="00B87C1E" w:rsidRDefault="00000000">
            <w:pPr>
              <w:jc w:val="center"/>
              <w:rPr>
                <w:color w:val="0E101A"/>
              </w:rPr>
            </w:pPr>
            <w:r>
              <w:rPr>
                <w:color w:val="0E101A"/>
              </w:rPr>
              <w:t>Support</w:t>
            </w:r>
          </w:p>
        </w:tc>
      </w:tr>
      <w:tr w:rsidR="00B87C1E" w14:paraId="35B625AF" w14:textId="77777777">
        <w:trPr>
          <w:trHeight w:val="356"/>
        </w:trPr>
        <w:tc>
          <w:tcPr>
            <w:tcW w:w="3810" w:type="dxa"/>
            <w:tcMar>
              <w:top w:w="100" w:type="dxa"/>
              <w:left w:w="100" w:type="dxa"/>
              <w:bottom w:w="100" w:type="dxa"/>
              <w:right w:w="100" w:type="dxa"/>
            </w:tcMar>
          </w:tcPr>
          <w:p w14:paraId="00000057" w14:textId="77777777" w:rsidR="00B87C1E" w:rsidRDefault="00000000">
            <w:pPr>
              <w:rPr>
                <w:color w:val="0E101A"/>
              </w:rPr>
            </w:pPr>
            <w:r>
              <w:rPr>
                <w:color w:val="0E101A"/>
              </w:rPr>
              <w:t xml:space="preserve">Review and QA </w:t>
            </w:r>
            <w:proofErr w:type="spellStart"/>
            <w:r>
              <w:rPr>
                <w:color w:val="0E101A"/>
              </w:rPr>
              <w:t>ToC</w:t>
            </w:r>
            <w:proofErr w:type="spellEnd"/>
          </w:p>
        </w:tc>
        <w:tc>
          <w:tcPr>
            <w:tcW w:w="1695" w:type="dxa"/>
            <w:tcMar>
              <w:top w:w="100" w:type="dxa"/>
              <w:left w:w="100" w:type="dxa"/>
              <w:bottom w:w="100" w:type="dxa"/>
              <w:right w:w="100" w:type="dxa"/>
            </w:tcMar>
          </w:tcPr>
          <w:p w14:paraId="00000058" w14:textId="77777777" w:rsidR="00B87C1E" w:rsidRDefault="00000000">
            <w:pPr>
              <w:jc w:val="center"/>
              <w:rPr>
                <w:color w:val="0E101A"/>
              </w:rPr>
            </w:pPr>
            <w:r>
              <w:rPr>
                <w:color w:val="0E101A"/>
              </w:rPr>
              <w:t>Review</w:t>
            </w:r>
          </w:p>
        </w:tc>
        <w:tc>
          <w:tcPr>
            <w:tcW w:w="1815" w:type="dxa"/>
            <w:tcMar>
              <w:top w:w="100" w:type="dxa"/>
              <w:left w:w="100" w:type="dxa"/>
              <w:bottom w:w="100" w:type="dxa"/>
              <w:right w:w="100" w:type="dxa"/>
            </w:tcMar>
          </w:tcPr>
          <w:p w14:paraId="00000059" w14:textId="77777777" w:rsidR="00B87C1E" w:rsidRDefault="00000000">
            <w:pPr>
              <w:jc w:val="center"/>
              <w:rPr>
                <w:color w:val="0E101A"/>
              </w:rPr>
            </w:pPr>
            <w:r>
              <w:rPr>
                <w:color w:val="0E101A"/>
              </w:rPr>
              <w:t>Lead</w:t>
            </w:r>
          </w:p>
        </w:tc>
        <w:tc>
          <w:tcPr>
            <w:tcW w:w="1695" w:type="dxa"/>
            <w:tcMar>
              <w:top w:w="100" w:type="dxa"/>
              <w:left w:w="100" w:type="dxa"/>
              <w:bottom w:w="100" w:type="dxa"/>
              <w:right w:w="100" w:type="dxa"/>
            </w:tcMar>
          </w:tcPr>
          <w:p w14:paraId="0000005A" w14:textId="77777777" w:rsidR="00B87C1E" w:rsidRDefault="00000000">
            <w:pPr>
              <w:jc w:val="center"/>
              <w:rPr>
                <w:color w:val="0E101A"/>
              </w:rPr>
            </w:pPr>
            <w:r>
              <w:rPr>
                <w:color w:val="0E101A"/>
              </w:rPr>
              <w:t xml:space="preserve"> Review</w:t>
            </w:r>
          </w:p>
        </w:tc>
      </w:tr>
    </w:tbl>
    <w:p w14:paraId="0000005B" w14:textId="77777777" w:rsidR="00B87C1E" w:rsidRDefault="00B87C1E">
      <w:pPr>
        <w:rPr>
          <w:b/>
        </w:rPr>
      </w:pPr>
    </w:p>
    <w:p w14:paraId="0000005C" w14:textId="77777777" w:rsidR="00B87C1E" w:rsidRDefault="00B87C1E">
      <w:pPr>
        <w:rPr>
          <w:b/>
        </w:rPr>
      </w:pPr>
    </w:p>
    <w:p w14:paraId="0000005D" w14:textId="77777777" w:rsidR="00B87C1E" w:rsidRDefault="00000000">
      <w:pPr>
        <w:rPr>
          <w:b/>
          <w:sz w:val="20"/>
          <w:szCs w:val="20"/>
        </w:rPr>
      </w:pPr>
      <w:r>
        <w:rPr>
          <w:b/>
          <w:color w:val="3B66BC"/>
        </w:rPr>
        <w:t>Project timeline</w:t>
      </w:r>
    </w:p>
    <w:p w14:paraId="0000005E" w14:textId="77777777" w:rsidR="00B87C1E" w:rsidRDefault="00000000">
      <w:pPr>
        <w:spacing w:before="60" w:after="100" w:line="264" w:lineRule="auto"/>
        <w:ind w:right="100"/>
        <w:rPr>
          <w:color w:val="0E101A"/>
        </w:rPr>
      </w:pPr>
      <w:r>
        <w:rPr>
          <w:color w:val="0E101A"/>
        </w:rPr>
        <w:t>The project timeline is outlined in Table 3 below.</w:t>
      </w:r>
    </w:p>
    <w:p w14:paraId="0000005F" w14:textId="77777777" w:rsidR="00B87C1E" w:rsidRDefault="00B87C1E">
      <w:pPr>
        <w:spacing w:before="60" w:after="100" w:line="264" w:lineRule="auto"/>
        <w:ind w:right="100"/>
        <w:rPr>
          <w:color w:val="0E101A"/>
        </w:rPr>
      </w:pPr>
    </w:p>
    <w:p w14:paraId="00000060" w14:textId="77777777" w:rsidR="00B87C1E" w:rsidRDefault="00000000">
      <w:pPr>
        <w:spacing w:before="60" w:after="100" w:line="264" w:lineRule="auto"/>
        <w:ind w:right="100"/>
        <w:rPr>
          <w:i/>
          <w:color w:val="4472C4"/>
          <w:sz w:val="20"/>
          <w:szCs w:val="20"/>
        </w:rPr>
      </w:pPr>
      <w:r>
        <w:rPr>
          <w:i/>
          <w:color w:val="4472C4"/>
          <w:sz w:val="20"/>
          <w:szCs w:val="20"/>
        </w:rPr>
        <w:t>Table 3. Project milestones and key dates</w:t>
      </w:r>
    </w:p>
    <w:tbl>
      <w:tblPr>
        <w:tblStyle w:val="ad"/>
        <w:tblW w:w="9060" w:type="dxa"/>
        <w:tblBorders>
          <w:top w:val="nil"/>
          <w:left w:val="nil"/>
          <w:bottom w:val="nil"/>
          <w:right w:val="nil"/>
          <w:insideH w:val="nil"/>
          <w:insideV w:val="nil"/>
        </w:tblBorders>
        <w:tblLayout w:type="fixed"/>
        <w:tblLook w:val="0600" w:firstRow="0" w:lastRow="0" w:firstColumn="0" w:lastColumn="0" w:noHBand="1" w:noVBand="1"/>
      </w:tblPr>
      <w:tblGrid>
        <w:gridCol w:w="5970"/>
        <w:gridCol w:w="3090"/>
      </w:tblGrid>
      <w:tr w:rsidR="00B87C1E" w14:paraId="27D08B02" w14:textId="77777777">
        <w:trPr>
          <w:trHeight w:val="600"/>
        </w:trPr>
        <w:tc>
          <w:tcPr>
            <w:tcW w:w="5970"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00000061" w14:textId="77777777" w:rsidR="00B87C1E" w:rsidRDefault="00000000">
            <w:pPr>
              <w:widowControl w:val="0"/>
              <w:spacing w:line="240" w:lineRule="auto"/>
              <w:rPr>
                <w:b/>
                <w:color w:val="FFFFFF"/>
              </w:rPr>
            </w:pPr>
            <w:r>
              <w:rPr>
                <w:b/>
                <w:color w:val="FFFFFF"/>
              </w:rPr>
              <w:t>Milestone</w:t>
            </w:r>
          </w:p>
        </w:tc>
        <w:tc>
          <w:tcPr>
            <w:tcW w:w="3090" w:type="dxa"/>
            <w:tcBorders>
              <w:top w:val="single" w:sz="8" w:space="0" w:color="000000"/>
              <w:left w:val="nil"/>
              <w:bottom w:val="single" w:sz="8" w:space="0" w:color="000000"/>
              <w:right w:val="single" w:sz="8" w:space="0" w:color="000000"/>
            </w:tcBorders>
            <w:shd w:val="clear" w:color="auto" w:fill="4472C4"/>
            <w:tcMar>
              <w:top w:w="100" w:type="dxa"/>
              <w:left w:w="100" w:type="dxa"/>
              <w:bottom w:w="100" w:type="dxa"/>
              <w:right w:w="100" w:type="dxa"/>
            </w:tcMar>
          </w:tcPr>
          <w:p w14:paraId="00000062" w14:textId="77777777" w:rsidR="00B87C1E" w:rsidRDefault="00000000">
            <w:pPr>
              <w:widowControl w:val="0"/>
              <w:spacing w:line="240" w:lineRule="auto"/>
              <w:rPr>
                <w:b/>
                <w:color w:val="FFFFFF"/>
              </w:rPr>
            </w:pPr>
            <w:r>
              <w:rPr>
                <w:b/>
                <w:color w:val="FFFFFF"/>
              </w:rPr>
              <w:t>Date</w:t>
            </w:r>
          </w:p>
        </w:tc>
      </w:tr>
      <w:tr w:rsidR="00B87C1E" w14:paraId="06719CCE" w14:textId="77777777">
        <w:trPr>
          <w:trHeight w:val="600"/>
        </w:trPr>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3" w14:textId="77777777" w:rsidR="00B87C1E" w:rsidRDefault="00000000">
            <w:pPr>
              <w:widowControl w:val="0"/>
              <w:spacing w:line="240" w:lineRule="auto"/>
            </w:pPr>
            <w:r>
              <w:t>Call for applications opens (HEPs and Panel of Evaluators)</w:t>
            </w:r>
          </w:p>
        </w:tc>
        <w:tc>
          <w:tcPr>
            <w:tcW w:w="3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4" w14:textId="77777777" w:rsidR="00B87C1E" w:rsidRDefault="00000000">
            <w:pPr>
              <w:widowControl w:val="0"/>
              <w:spacing w:line="240" w:lineRule="auto"/>
            </w:pPr>
            <w:r>
              <w:t>Monday 12 June 2023</w:t>
            </w:r>
          </w:p>
        </w:tc>
      </w:tr>
      <w:tr w:rsidR="00B87C1E" w14:paraId="4F992C7A" w14:textId="77777777">
        <w:trPr>
          <w:trHeight w:val="620"/>
        </w:trPr>
        <w:tc>
          <w:tcPr>
            <w:tcW w:w="5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5" w14:textId="77777777" w:rsidR="00B87C1E" w:rsidRDefault="00000000">
            <w:pPr>
              <w:widowControl w:val="0"/>
              <w:spacing w:line="240" w:lineRule="auto"/>
            </w:pPr>
            <w:r>
              <w:t xml:space="preserve">‘ITT information session’ webinar </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00000066" w14:textId="77777777" w:rsidR="00B87C1E" w:rsidRDefault="00000000">
            <w:pPr>
              <w:widowControl w:val="0"/>
              <w:spacing w:line="240" w:lineRule="auto"/>
            </w:pPr>
            <w:r>
              <w:t>Wednesday 5 July 2023</w:t>
            </w:r>
          </w:p>
        </w:tc>
      </w:tr>
      <w:tr w:rsidR="00B87C1E" w14:paraId="424C3384" w14:textId="77777777">
        <w:trPr>
          <w:trHeight w:val="620"/>
        </w:trPr>
        <w:tc>
          <w:tcPr>
            <w:tcW w:w="5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7" w14:textId="77777777" w:rsidR="00B87C1E" w:rsidRDefault="00000000">
            <w:pPr>
              <w:widowControl w:val="0"/>
              <w:spacing w:line="240" w:lineRule="auto"/>
            </w:pPr>
            <w:r>
              <w:t>Deadline for applications</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00000068" w14:textId="77777777" w:rsidR="00B87C1E" w:rsidRDefault="00000000">
            <w:pPr>
              <w:widowControl w:val="0"/>
              <w:spacing w:line="240" w:lineRule="auto"/>
            </w:pPr>
            <w:r>
              <w:t>Friday 4 August 2023 (5pm)</w:t>
            </w:r>
          </w:p>
        </w:tc>
      </w:tr>
      <w:tr w:rsidR="00B87C1E" w14:paraId="006117B6" w14:textId="77777777">
        <w:trPr>
          <w:trHeight w:val="620"/>
        </w:trPr>
        <w:tc>
          <w:tcPr>
            <w:tcW w:w="5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9" w14:textId="77777777" w:rsidR="00B87C1E" w:rsidRDefault="00000000">
            <w:pPr>
              <w:widowControl w:val="0"/>
              <w:spacing w:line="240" w:lineRule="auto"/>
            </w:pPr>
            <w:r>
              <w:t>Project kick off</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0000006A" w14:textId="77777777" w:rsidR="00B87C1E" w:rsidRDefault="00000000">
            <w:pPr>
              <w:widowControl w:val="0"/>
              <w:spacing w:line="240" w:lineRule="auto"/>
            </w:pPr>
            <w:r>
              <w:t>w/c 4 September 2023</w:t>
            </w:r>
          </w:p>
        </w:tc>
      </w:tr>
      <w:tr w:rsidR="00B87C1E" w14:paraId="27D762E8" w14:textId="77777777">
        <w:trPr>
          <w:trHeight w:val="620"/>
        </w:trPr>
        <w:tc>
          <w:tcPr>
            <w:tcW w:w="5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B" w14:textId="77777777" w:rsidR="00B87C1E" w:rsidRDefault="00000000">
            <w:pPr>
              <w:widowControl w:val="0"/>
              <w:spacing w:line="240" w:lineRule="auto"/>
            </w:pPr>
            <w:proofErr w:type="spellStart"/>
            <w:r>
              <w:t>ToC</w:t>
            </w:r>
            <w:proofErr w:type="spellEnd"/>
            <w:r>
              <w:t xml:space="preserve"> workshops</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0000006C" w14:textId="77777777" w:rsidR="00B87C1E" w:rsidRDefault="00000000">
            <w:pPr>
              <w:widowControl w:val="0"/>
              <w:spacing w:line="240" w:lineRule="auto"/>
            </w:pPr>
            <w:r>
              <w:t>September - October 2023</w:t>
            </w:r>
          </w:p>
        </w:tc>
      </w:tr>
      <w:tr w:rsidR="00B87C1E" w14:paraId="0CFA2432" w14:textId="77777777">
        <w:trPr>
          <w:trHeight w:val="620"/>
        </w:trPr>
        <w:tc>
          <w:tcPr>
            <w:tcW w:w="5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D" w14:textId="77777777" w:rsidR="00B87C1E" w:rsidRDefault="00000000">
            <w:pPr>
              <w:widowControl w:val="0"/>
              <w:spacing w:line="240" w:lineRule="auto"/>
            </w:pPr>
            <w:r>
              <w:t xml:space="preserve">Final outputs </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0000006E" w14:textId="77777777" w:rsidR="00B87C1E" w:rsidRDefault="00000000">
            <w:pPr>
              <w:widowControl w:val="0"/>
              <w:spacing w:line="240" w:lineRule="auto"/>
            </w:pPr>
            <w:r>
              <w:t>Friday 15 December 2023</w:t>
            </w:r>
          </w:p>
        </w:tc>
      </w:tr>
    </w:tbl>
    <w:p w14:paraId="0000006F" w14:textId="77777777" w:rsidR="00B87C1E" w:rsidRDefault="00B87C1E"/>
    <w:p w14:paraId="00000070" w14:textId="77777777" w:rsidR="00B87C1E" w:rsidRDefault="00000000">
      <w:r>
        <w:t>Using the expression of interest form below, please submit your examples of interventions by</w:t>
      </w:r>
      <w:r>
        <w:rPr>
          <w:b/>
        </w:rPr>
        <w:t xml:space="preserve"> 5pm on Friday 4 August 2023</w:t>
      </w:r>
      <w:r>
        <w:t>. If you have any questions regarding the open call, please join us on 5 July 2023 for an information session (</w:t>
      </w:r>
      <w:hyperlink r:id="rId13">
        <w:r>
          <w:rPr>
            <w:color w:val="1155CC"/>
            <w:u w:val="single"/>
          </w:rPr>
          <w:t>sign-up here</w:t>
        </w:r>
      </w:hyperlink>
      <w:r>
        <w:t xml:space="preserve">) dedicated to unpacking TASO’s open invitations to tender. You can also get in touch over email via research@taso.org.uk. You will be informed of the outcome of your submission in the </w:t>
      </w:r>
      <w:r>
        <w:rPr>
          <w:b/>
        </w:rPr>
        <w:t>w/c 14 August 2023</w:t>
      </w:r>
      <w:r>
        <w:t xml:space="preserve">. </w:t>
      </w:r>
      <w:r>
        <w:br w:type="page"/>
      </w:r>
    </w:p>
    <w:p w14:paraId="00000071" w14:textId="77777777" w:rsidR="00B87C1E" w:rsidRDefault="00000000">
      <w:pPr>
        <w:spacing w:before="60" w:after="100"/>
        <w:rPr>
          <w:b/>
          <w:color w:val="3B66BC"/>
        </w:rPr>
      </w:pPr>
      <w:r>
        <w:rPr>
          <w:b/>
          <w:color w:val="3B66BC"/>
        </w:rPr>
        <w:lastRenderedPageBreak/>
        <w:t>Assessment of applications</w:t>
      </w:r>
    </w:p>
    <w:p w14:paraId="00000072" w14:textId="77777777" w:rsidR="00B87C1E" w:rsidRDefault="00000000">
      <w:pPr>
        <w:rPr>
          <w:color w:val="000000"/>
        </w:rPr>
      </w:pPr>
      <w:r>
        <w:rPr>
          <w:color w:val="000000"/>
        </w:rPr>
        <w:t>Your application will be assessed by the TASO Research and Evaluation team. The strength of applications will be assessed on the below criteria (please note the weighting of each section):</w:t>
      </w:r>
    </w:p>
    <w:p w14:paraId="00000073" w14:textId="77777777" w:rsidR="00B87C1E" w:rsidRDefault="00000000">
      <w:pPr>
        <w:numPr>
          <w:ilvl w:val="0"/>
          <w:numId w:val="4"/>
        </w:numPr>
        <w:pBdr>
          <w:top w:val="nil"/>
          <w:left w:val="nil"/>
          <w:bottom w:val="nil"/>
          <w:right w:val="nil"/>
          <w:between w:val="nil"/>
        </w:pBdr>
        <w:rPr>
          <w:i/>
          <w:color w:val="000000"/>
        </w:rPr>
      </w:pPr>
      <w:r>
        <w:rPr>
          <w:i/>
        </w:rPr>
        <w:t xml:space="preserve">Intervention/activity </w:t>
      </w:r>
      <w:r>
        <w:rPr>
          <w:i/>
          <w:color w:val="000000"/>
        </w:rPr>
        <w:t>(40%)</w:t>
      </w:r>
    </w:p>
    <w:p w14:paraId="00000074" w14:textId="77777777" w:rsidR="00B87C1E" w:rsidRDefault="00000000">
      <w:pPr>
        <w:numPr>
          <w:ilvl w:val="1"/>
          <w:numId w:val="4"/>
        </w:numPr>
        <w:pBdr>
          <w:top w:val="nil"/>
          <w:left w:val="nil"/>
          <w:bottom w:val="nil"/>
          <w:right w:val="nil"/>
          <w:between w:val="nil"/>
        </w:pBdr>
        <w:rPr>
          <w:color w:val="000000"/>
        </w:rPr>
      </w:pPr>
      <w:r>
        <w:t>How the intervention maps onto the typology of approaches to address the ethnicity degree awarding gap.</w:t>
      </w:r>
    </w:p>
    <w:p w14:paraId="00000075" w14:textId="77777777" w:rsidR="00B87C1E" w:rsidRDefault="00000000">
      <w:pPr>
        <w:numPr>
          <w:ilvl w:val="1"/>
          <w:numId w:val="4"/>
        </w:numPr>
        <w:pBdr>
          <w:top w:val="nil"/>
          <w:left w:val="nil"/>
          <w:bottom w:val="nil"/>
          <w:right w:val="nil"/>
          <w:between w:val="nil"/>
        </w:pBdr>
      </w:pPr>
      <w:r>
        <w:t>Background information of how the intervention has been designed/delivered previously.</w:t>
      </w:r>
    </w:p>
    <w:p w14:paraId="00000076" w14:textId="77777777" w:rsidR="00B87C1E" w:rsidRDefault="00000000">
      <w:pPr>
        <w:numPr>
          <w:ilvl w:val="1"/>
          <w:numId w:val="4"/>
        </w:numPr>
        <w:pBdr>
          <w:top w:val="nil"/>
          <w:left w:val="nil"/>
          <w:bottom w:val="nil"/>
          <w:right w:val="nil"/>
          <w:between w:val="nil"/>
        </w:pBdr>
      </w:pPr>
      <w:r>
        <w:t xml:space="preserve">How the intervention aims to reduce the ethnicity degree awarding gap including any suggested intermediate outcomes (e.g., sense of belonging). </w:t>
      </w:r>
    </w:p>
    <w:p w14:paraId="00000077" w14:textId="77777777" w:rsidR="00B87C1E" w:rsidRDefault="00000000">
      <w:pPr>
        <w:numPr>
          <w:ilvl w:val="0"/>
          <w:numId w:val="4"/>
        </w:numPr>
        <w:pBdr>
          <w:top w:val="nil"/>
          <w:left w:val="nil"/>
          <w:bottom w:val="nil"/>
          <w:right w:val="nil"/>
          <w:between w:val="nil"/>
        </w:pBdr>
        <w:rPr>
          <w:i/>
          <w:color w:val="000000"/>
        </w:rPr>
      </w:pPr>
      <w:r>
        <w:rPr>
          <w:i/>
        </w:rPr>
        <w:t xml:space="preserve">Relevance/impact of the project </w:t>
      </w:r>
      <w:r>
        <w:rPr>
          <w:i/>
          <w:color w:val="000000"/>
        </w:rPr>
        <w:t>(20%)</w:t>
      </w:r>
    </w:p>
    <w:p w14:paraId="00000078" w14:textId="77777777" w:rsidR="00B87C1E" w:rsidRDefault="00000000">
      <w:pPr>
        <w:numPr>
          <w:ilvl w:val="1"/>
          <w:numId w:val="4"/>
        </w:numPr>
      </w:pPr>
      <w:r>
        <w:t xml:space="preserve">Relevance of the intervention that the </w:t>
      </w:r>
      <w:proofErr w:type="spellStart"/>
      <w:r>
        <w:t>ToC</w:t>
      </w:r>
      <w:proofErr w:type="spellEnd"/>
      <w:r>
        <w:t xml:space="preserve"> would be developed for. </w:t>
      </w:r>
    </w:p>
    <w:p w14:paraId="00000079" w14:textId="77777777" w:rsidR="00B87C1E" w:rsidRDefault="00000000">
      <w:pPr>
        <w:numPr>
          <w:ilvl w:val="1"/>
          <w:numId w:val="4"/>
        </w:numPr>
      </w:pPr>
      <w:r>
        <w:t xml:space="preserve">The HEP’s plan to use and implement the </w:t>
      </w:r>
      <w:proofErr w:type="spellStart"/>
      <w:r>
        <w:t>ToC</w:t>
      </w:r>
      <w:proofErr w:type="spellEnd"/>
      <w:r>
        <w:t xml:space="preserve"> beyond the lifecycle of this project.</w:t>
      </w:r>
    </w:p>
    <w:p w14:paraId="0000007A" w14:textId="77777777" w:rsidR="00B87C1E" w:rsidRDefault="00000000">
      <w:pPr>
        <w:numPr>
          <w:ilvl w:val="0"/>
          <w:numId w:val="4"/>
        </w:numPr>
        <w:pBdr>
          <w:top w:val="nil"/>
          <w:left w:val="nil"/>
          <w:bottom w:val="nil"/>
          <w:right w:val="nil"/>
          <w:between w:val="nil"/>
        </w:pBdr>
      </w:pPr>
      <w:r>
        <w:t>Team (</w:t>
      </w:r>
      <w:r>
        <w:rPr>
          <w:i/>
        </w:rPr>
        <w:t>40</w:t>
      </w:r>
      <w:r>
        <w:t>%)</w:t>
      </w:r>
    </w:p>
    <w:p w14:paraId="0000007B" w14:textId="77777777" w:rsidR="00B87C1E" w:rsidRDefault="00000000">
      <w:pPr>
        <w:numPr>
          <w:ilvl w:val="1"/>
          <w:numId w:val="4"/>
        </w:numPr>
      </w:pPr>
      <w:r>
        <w:t>The relevant experience of the project team.</w:t>
      </w:r>
    </w:p>
    <w:p w14:paraId="0000007C" w14:textId="77777777" w:rsidR="00B87C1E" w:rsidRDefault="00000000">
      <w:pPr>
        <w:numPr>
          <w:ilvl w:val="1"/>
          <w:numId w:val="4"/>
        </w:numPr>
      </w:pPr>
      <w:r>
        <w:t xml:space="preserve">The team’s commitment to evidence-informed practice. </w:t>
      </w:r>
    </w:p>
    <w:p w14:paraId="0000007D" w14:textId="77777777" w:rsidR="00B87C1E" w:rsidRDefault="00000000">
      <w:pPr>
        <w:numPr>
          <w:ilvl w:val="1"/>
          <w:numId w:val="4"/>
        </w:numPr>
      </w:pPr>
      <w:r>
        <w:t>The team’s approach to transparency and accountability.</w:t>
      </w:r>
    </w:p>
    <w:p w14:paraId="0000007E" w14:textId="77777777" w:rsidR="00B87C1E" w:rsidRDefault="00000000">
      <w:pPr>
        <w:pBdr>
          <w:top w:val="nil"/>
          <w:left w:val="nil"/>
          <w:bottom w:val="nil"/>
          <w:right w:val="nil"/>
          <w:between w:val="nil"/>
        </w:pBdr>
      </w:pPr>
      <w:r>
        <w:br w:type="page"/>
      </w:r>
    </w:p>
    <w:p w14:paraId="0000007F" w14:textId="77777777" w:rsidR="00B87C1E" w:rsidRDefault="00000000">
      <w:pPr>
        <w:pBdr>
          <w:top w:val="nil"/>
          <w:left w:val="nil"/>
          <w:bottom w:val="nil"/>
          <w:right w:val="nil"/>
          <w:between w:val="nil"/>
        </w:pBdr>
        <w:spacing w:after="120"/>
        <w:ind w:left="66"/>
        <w:rPr>
          <w:b/>
          <w:color w:val="3B66BC"/>
          <w:sz w:val="36"/>
          <w:szCs w:val="36"/>
        </w:rPr>
      </w:pPr>
      <w:r>
        <w:rPr>
          <w:b/>
          <w:color w:val="3B66BC"/>
          <w:sz w:val="36"/>
          <w:szCs w:val="36"/>
        </w:rPr>
        <w:lastRenderedPageBreak/>
        <w:t>Expression of Interest Form</w:t>
      </w:r>
    </w:p>
    <w:p w14:paraId="00000080" w14:textId="77777777" w:rsidR="00B87C1E" w:rsidRDefault="00000000">
      <w:pPr>
        <w:pBdr>
          <w:top w:val="nil"/>
          <w:left w:val="nil"/>
          <w:bottom w:val="nil"/>
          <w:right w:val="nil"/>
          <w:between w:val="nil"/>
        </w:pBdr>
        <w:spacing w:before="60" w:after="120"/>
        <w:ind w:left="66"/>
        <w:rPr>
          <w:color w:val="000000"/>
        </w:rPr>
      </w:pPr>
      <w:r>
        <w:rPr>
          <w:color w:val="000000"/>
        </w:rPr>
        <w:t>Please note that hyperlinks to web-based information will not be accepted, and, if included, will not be evaluated.</w:t>
      </w:r>
    </w:p>
    <w:tbl>
      <w:tblPr>
        <w:tblStyle w:val="ae"/>
        <w:tblW w:w="93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803"/>
      </w:tblGrid>
      <w:tr w:rsidR="00B87C1E" w14:paraId="734B3FB8" w14:textId="77777777">
        <w:tc>
          <w:tcPr>
            <w:tcW w:w="2547"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tcPr>
          <w:p w14:paraId="00000081" w14:textId="77777777" w:rsidR="00B87C1E" w:rsidRDefault="00000000">
            <w:pPr>
              <w:keepNext/>
              <w:tabs>
                <w:tab w:val="left" w:pos="1575"/>
              </w:tabs>
              <w:spacing w:before="60" w:after="100" w:line="264" w:lineRule="auto"/>
              <w:rPr>
                <w:b/>
                <w:sz w:val="24"/>
                <w:szCs w:val="24"/>
              </w:rPr>
            </w:pPr>
            <w:r>
              <w:rPr>
                <w:b/>
                <w:sz w:val="24"/>
                <w:szCs w:val="24"/>
              </w:rPr>
              <w:t>Data Protection Notice</w:t>
            </w:r>
          </w:p>
        </w:tc>
        <w:tc>
          <w:tcPr>
            <w:tcW w:w="6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82" w14:textId="77777777" w:rsidR="00B87C1E" w:rsidRDefault="00000000">
            <w:pPr>
              <w:keepNext/>
              <w:spacing w:before="60" w:line="264" w:lineRule="auto"/>
              <w:ind w:right="100"/>
              <w:jc w:val="both"/>
              <w:rPr>
                <w:color w:val="0E101A"/>
              </w:rPr>
            </w:pPr>
            <w:r>
              <w:rPr>
                <w:color w:val="0E101A"/>
              </w:rPr>
              <w:t xml:space="preserve">Please read TASO’s </w:t>
            </w:r>
            <w:hyperlink r:id="rId14">
              <w:r>
                <w:rPr>
                  <w:color w:val="1155CC"/>
                  <w:u w:val="single"/>
                </w:rPr>
                <w:t>Data Protection Notice</w:t>
              </w:r>
            </w:hyperlink>
            <w:r>
              <w:rPr>
                <w:color w:val="0E101A"/>
              </w:rPr>
              <w:t xml:space="preserve"> before submitting your application.</w:t>
            </w:r>
          </w:p>
        </w:tc>
      </w:tr>
      <w:tr w:rsidR="00B87C1E" w14:paraId="28D86078" w14:textId="77777777">
        <w:tc>
          <w:tcPr>
            <w:tcW w:w="2547"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tcPr>
          <w:p w14:paraId="00000083" w14:textId="77777777" w:rsidR="00B87C1E" w:rsidRDefault="00000000">
            <w:pPr>
              <w:keepNext/>
              <w:tabs>
                <w:tab w:val="left" w:pos="1575"/>
              </w:tabs>
              <w:spacing w:before="60" w:after="100" w:line="264" w:lineRule="auto"/>
              <w:rPr>
                <w:b/>
                <w:sz w:val="24"/>
                <w:szCs w:val="24"/>
              </w:rPr>
            </w:pPr>
            <w:r>
              <w:rPr>
                <w:b/>
                <w:sz w:val="24"/>
                <w:szCs w:val="24"/>
              </w:rPr>
              <w:t>Data Protection Notice</w:t>
            </w:r>
          </w:p>
        </w:tc>
        <w:tc>
          <w:tcPr>
            <w:tcW w:w="6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84" w14:textId="77777777" w:rsidR="00B87C1E" w:rsidRDefault="00000000">
            <w:pPr>
              <w:keepNext/>
              <w:spacing w:before="60" w:line="264" w:lineRule="auto"/>
              <w:ind w:right="100"/>
              <w:jc w:val="both"/>
              <w:rPr>
                <w:color w:val="0E101A"/>
              </w:rPr>
            </w:pPr>
            <w:r>
              <w:rPr>
                <w:color w:val="0E101A"/>
              </w:rPr>
              <w:t>Do you confirm that you have read and understood the</w:t>
            </w:r>
            <w:hyperlink r:id="rId15">
              <w:r>
                <w:rPr>
                  <w:color w:val="1155CC"/>
                  <w:u w:val="single"/>
                </w:rPr>
                <w:t xml:space="preserve"> Data Protection Notice</w:t>
              </w:r>
            </w:hyperlink>
            <w:r>
              <w:rPr>
                <w:color w:val="0E101A"/>
              </w:rPr>
              <w:t>?</w:t>
            </w:r>
          </w:p>
          <w:p w14:paraId="00000085" w14:textId="77777777" w:rsidR="00B87C1E" w:rsidRDefault="00000000">
            <w:pPr>
              <w:keepNext/>
              <w:spacing w:before="60" w:line="264" w:lineRule="auto"/>
              <w:ind w:right="100"/>
              <w:jc w:val="both"/>
              <w:rPr>
                <w:color w:val="0E101A"/>
              </w:rPr>
            </w:pPr>
            <w:r>
              <w:rPr>
                <w:color w:val="0E101A"/>
              </w:rPr>
              <w:t>Yes</w:t>
            </w:r>
          </w:p>
          <w:p w14:paraId="00000086" w14:textId="77777777" w:rsidR="00B87C1E" w:rsidRDefault="00000000">
            <w:pPr>
              <w:keepNext/>
              <w:spacing w:before="60" w:line="264" w:lineRule="auto"/>
              <w:ind w:right="100"/>
              <w:jc w:val="both"/>
              <w:rPr>
                <w:color w:val="0E101A"/>
              </w:rPr>
            </w:pPr>
            <w:r>
              <w:rPr>
                <w:color w:val="0E101A"/>
              </w:rPr>
              <w:t>No</w:t>
            </w:r>
          </w:p>
        </w:tc>
      </w:tr>
      <w:tr w:rsidR="00B87C1E" w14:paraId="0FF9A15B" w14:textId="77777777">
        <w:tc>
          <w:tcPr>
            <w:tcW w:w="2547" w:type="dxa"/>
            <w:tcBorders>
              <w:top w:val="single" w:sz="4" w:space="0" w:color="000000"/>
              <w:left w:val="single" w:sz="4" w:space="0" w:color="000000"/>
              <w:bottom w:val="single" w:sz="4" w:space="0" w:color="000000"/>
              <w:right w:val="single" w:sz="4" w:space="0" w:color="000000"/>
            </w:tcBorders>
            <w:shd w:val="clear" w:color="auto" w:fill="F2F2F2"/>
          </w:tcPr>
          <w:p w14:paraId="00000087" w14:textId="77777777" w:rsidR="00B87C1E" w:rsidRDefault="00000000">
            <w:pPr>
              <w:keepNext/>
              <w:tabs>
                <w:tab w:val="left" w:pos="1575"/>
              </w:tabs>
              <w:spacing w:line="240" w:lineRule="auto"/>
              <w:rPr>
                <w:b/>
                <w:sz w:val="24"/>
                <w:szCs w:val="24"/>
              </w:rPr>
            </w:pPr>
            <w:r>
              <w:rPr>
                <w:b/>
                <w:sz w:val="24"/>
                <w:szCs w:val="24"/>
              </w:rPr>
              <w:t>Organisation/</w:t>
            </w:r>
          </w:p>
          <w:p w14:paraId="00000088" w14:textId="77777777" w:rsidR="00B87C1E" w:rsidRDefault="00000000">
            <w:pPr>
              <w:keepNext/>
              <w:tabs>
                <w:tab w:val="left" w:pos="1575"/>
              </w:tabs>
              <w:spacing w:line="240" w:lineRule="auto"/>
              <w:rPr>
                <w:b/>
                <w:sz w:val="24"/>
                <w:szCs w:val="24"/>
              </w:rPr>
            </w:pPr>
            <w:r>
              <w:rPr>
                <w:b/>
                <w:sz w:val="24"/>
                <w:szCs w:val="24"/>
              </w:rPr>
              <w:t>provider name</w:t>
            </w:r>
          </w:p>
          <w:p w14:paraId="00000089" w14:textId="77777777" w:rsidR="00B87C1E" w:rsidRDefault="00B87C1E">
            <w:pPr>
              <w:keepNext/>
              <w:tabs>
                <w:tab w:val="left" w:pos="1575"/>
              </w:tabs>
              <w:spacing w:line="240" w:lineRule="auto"/>
              <w:rPr>
                <w:b/>
                <w:sz w:val="24"/>
                <w:szCs w:val="24"/>
              </w:rPr>
            </w:pPr>
          </w:p>
        </w:tc>
        <w:tc>
          <w:tcPr>
            <w:tcW w:w="6803" w:type="dxa"/>
            <w:tcBorders>
              <w:top w:val="single" w:sz="4" w:space="0" w:color="000000"/>
              <w:left w:val="single" w:sz="4" w:space="0" w:color="000000"/>
              <w:bottom w:val="single" w:sz="4" w:space="0" w:color="000000"/>
              <w:right w:val="single" w:sz="4" w:space="0" w:color="000000"/>
            </w:tcBorders>
          </w:tcPr>
          <w:p w14:paraId="0000008A" w14:textId="77777777" w:rsidR="00B87C1E" w:rsidRDefault="00B87C1E">
            <w:pPr>
              <w:keepNext/>
              <w:spacing w:before="60" w:after="120" w:line="240" w:lineRule="auto"/>
              <w:rPr>
                <w:b/>
                <w:color w:val="3B66BC"/>
                <w:sz w:val="24"/>
                <w:szCs w:val="24"/>
              </w:rPr>
            </w:pPr>
          </w:p>
        </w:tc>
      </w:tr>
      <w:tr w:rsidR="00B87C1E" w14:paraId="76AFD7A7" w14:textId="77777777">
        <w:tc>
          <w:tcPr>
            <w:tcW w:w="2547" w:type="dxa"/>
            <w:tcBorders>
              <w:top w:val="single" w:sz="4" w:space="0" w:color="000000"/>
              <w:left w:val="single" w:sz="4" w:space="0" w:color="000000"/>
              <w:bottom w:val="single" w:sz="4" w:space="0" w:color="000000"/>
              <w:right w:val="single" w:sz="4" w:space="0" w:color="000000"/>
            </w:tcBorders>
            <w:shd w:val="clear" w:color="auto" w:fill="F2F2F2"/>
          </w:tcPr>
          <w:p w14:paraId="0000008B" w14:textId="77777777" w:rsidR="00B87C1E" w:rsidRDefault="00000000">
            <w:pPr>
              <w:tabs>
                <w:tab w:val="left" w:pos="1575"/>
              </w:tabs>
              <w:spacing w:before="60" w:after="100" w:line="264" w:lineRule="auto"/>
              <w:rPr>
                <w:b/>
                <w:sz w:val="24"/>
                <w:szCs w:val="24"/>
              </w:rPr>
            </w:pPr>
            <w:r>
              <w:rPr>
                <w:b/>
                <w:sz w:val="24"/>
                <w:szCs w:val="24"/>
              </w:rPr>
              <w:t>Contact name</w:t>
            </w:r>
          </w:p>
        </w:tc>
        <w:tc>
          <w:tcPr>
            <w:tcW w:w="6803" w:type="dxa"/>
            <w:tcBorders>
              <w:top w:val="single" w:sz="4" w:space="0" w:color="000000"/>
              <w:left w:val="single" w:sz="4" w:space="0" w:color="000000"/>
              <w:bottom w:val="single" w:sz="4" w:space="0" w:color="000000"/>
              <w:right w:val="single" w:sz="4" w:space="0" w:color="000000"/>
            </w:tcBorders>
          </w:tcPr>
          <w:p w14:paraId="0000008C" w14:textId="77777777" w:rsidR="00B87C1E" w:rsidRDefault="00B87C1E">
            <w:pPr>
              <w:spacing w:before="60" w:after="120" w:line="240" w:lineRule="auto"/>
              <w:rPr>
                <w:b/>
                <w:color w:val="3B66BC"/>
                <w:sz w:val="24"/>
                <w:szCs w:val="24"/>
              </w:rPr>
            </w:pPr>
          </w:p>
        </w:tc>
      </w:tr>
      <w:tr w:rsidR="00B87C1E" w14:paraId="52F11954" w14:textId="77777777">
        <w:tc>
          <w:tcPr>
            <w:tcW w:w="2547" w:type="dxa"/>
            <w:tcBorders>
              <w:top w:val="single" w:sz="4" w:space="0" w:color="000000"/>
              <w:left w:val="single" w:sz="4" w:space="0" w:color="000000"/>
              <w:bottom w:val="single" w:sz="4" w:space="0" w:color="000000"/>
              <w:right w:val="single" w:sz="4" w:space="0" w:color="000000"/>
            </w:tcBorders>
            <w:shd w:val="clear" w:color="auto" w:fill="F2F2F2"/>
          </w:tcPr>
          <w:p w14:paraId="0000008D" w14:textId="77777777" w:rsidR="00B87C1E" w:rsidRDefault="00000000">
            <w:pPr>
              <w:tabs>
                <w:tab w:val="left" w:pos="1575"/>
              </w:tabs>
              <w:spacing w:before="60" w:after="100" w:line="264" w:lineRule="auto"/>
              <w:rPr>
                <w:b/>
                <w:sz w:val="24"/>
                <w:szCs w:val="24"/>
              </w:rPr>
            </w:pPr>
            <w:bookmarkStart w:id="4" w:name="_heading=h.30j0zll" w:colFirst="0" w:colLast="0"/>
            <w:bookmarkEnd w:id="4"/>
            <w:r>
              <w:rPr>
                <w:b/>
                <w:sz w:val="24"/>
                <w:szCs w:val="24"/>
              </w:rPr>
              <w:t>Contact email</w:t>
            </w:r>
          </w:p>
        </w:tc>
        <w:tc>
          <w:tcPr>
            <w:tcW w:w="6803" w:type="dxa"/>
            <w:tcBorders>
              <w:top w:val="single" w:sz="4" w:space="0" w:color="000000"/>
              <w:left w:val="single" w:sz="4" w:space="0" w:color="000000"/>
              <w:bottom w:val="single" w:sz="4" w:space="0" w:color="000000"/>
              <w:right w:val="single" w:sz="4" w:space="0" w:color="000000"/>
            </w:tcBorders>
          </w:tcPr>
          <w:p w14:paraId="0000008E" w14:textId="77777777" w:rsidR="00B87C1E" w:rsidRDefault="00B87C1E">
            <w:pPr>
              <w:spacing w:before="60" w:after="120" w:line="240" w:lineRule="auto"/>
              <w:rPr>
                <w:b/>
                <w:color w:val="3B66BC"/>
                <w:sz w:val="24"/>
                <w:szCs w:val="24"/>
              </w:rPr>
            </w:pPr>
          </w:p>
        </w:tc>
      </w:tr>
      <w:tr w:rsidR="00B87C1E" w14:paraId="06658881" w14:textId="77777777">
        <w:tc>
          <w:tcPr>
            <w:tcW w:w="2547" w:type="dxa"/>
            <w:tcBorders>
              <w:top w:val="single" w:sz="4" w:space="0" w:color="000000"/>
              <w:left w:val="single" w:sz="4" w:space="0" w:color="000000"/>
              <w:bottom w:val="single" w:sz="4" w:space="0" w:color="000000"/>
              <w:right w:val="single" w:sz="4" w:space="0" w:color="000000"/>
            </w:tcBorders>
            <w:shd w:val="clear" w:color="auto" w:fill="F2F2F2"/>
          </w:tcPr>
          <w:p w14:paraId="0000008F" w14:textId="77777777" w:rsidR="00B87C1E" w:rsidRDefault="00000000">
            <w:pPr>
              <w:spacing w:before="60" w:after="100" w:line="264" w:lineRule="auto"/>
              <w:rPr>
                <w:b/>
                <w:sz w:val="24"/>
                <w:szCs w:val="24"/>
              </w:rPr>
            </w:pPr>
            <w:r>
              <w:rPr>
                <w:b/>
                <w:sz w:val="24"/>
                <w:szCs w:val="24"/>
              </w:rPr>
              <w:t>Contact telephone</w:t>
            </w:r>
          </w:p>
        </w:tc>
        <w:tc>
          <w:tcPr>
            <w:tcW w:w="6803" w:type="dxa"/>
            <w:tcBorders>
              <w:top w:val="single" w:sz="4" w:space="0" w:color="000000"/>
              <w:left w:val="single" w:sz="4" w:space="0" w:color="000000"/>
              <w:bottom w:val="single" w:sz="4" w:space="0" w:color="000000"/>
              <w:right w:val="single" w:sz="4" w:space="0" w:color="000000"/>
            </w:tcBorders>
          </w:tcPr>
          <w:p w14:paraId="00000090" w14:textId="77777777" w:rsidR="00B87C1E" w:rsidRDefault="00B87C1E">
            <w:pPr>
              <w:spacing w:before="60" w:after="120" w:line="240" w:lineRule="auto"/>
              <w:rPr>
                <w:b/>
                <w:color w:val="3B66BC"/>
                <w:sz w:val="24"/>
                <w:szCs w:val="24"/>
              </w:rPr>
            </w:pPr>
          </w:p>
        </w:tc>
      </w:tr>
      <w:tr w:rsidR="00B87C1E" w14:paraId="0032804E" w14:textId="77777777">
        <w:tc>
          <w:tcPr>
            <w:tcW w:w="2547" w:type="dxa"/>
            <w:tcBorders>
              <w:top w:val="single" w:sz="4" w:space="0" w:color="000000"/>
              <w:left w:val="single" w:sz="4" w:space="0" w:color="000000"/>
              <w:bottom w:val="single" w:sz="4" w:space="0" w:color="000000"/>
              <w:right w:val="single" w:sz="4" w:space="0" w:color="000000"/>
            </w:tcBorders>
            <w:shd w:val="clear" w:color="auto" w:fill="F2F2F2"/>
          </w:tcPr>
          <w:p w14:paraId="00000091" w14:textId="77777777" w:rsidR="00B87C1E" w:rsidRDefault="00000000">
            <w:pPr>
              <w:spacing w:before="60" w:after="100" w:line="264" w:lineRule="auto"/>
              <w:rPr>
                <w:b/>
                <w:sz w:val="24"/>
                <w:szCs w:val="24"/>
              </w:rPr>
            </w:pPr>
            <w:r>
              <w:rPr>
                <w:b/>
                <w:sz w:val="24"/>
                <w:szCs w:val="24"/>
              </w:rPr>
              <w:t xml:space="preserve">Where did you hear about this open call? </w:t>
            </w:r>
          </w:p>
        </w:tc>
        <w:tc>
          <w:tcPr>
            <w:tcW w:w="6803" w:type="dxa"/>
            <w:tcBorders>
              <w:top w:val="single" w:sz="4" w:space="0" w:color="000000"/>
              <w:left w:val="single" w:sz="4" w:space="0" w:color="000000"/>
              <w:bottom w:val="single" w:sz="4" w:space="0" w:color="000000"/>
              <w:right w:val="single" w:sz="4" w:space="0" w:color="000000"/>
            </w:tcBorders>
          </w:tcPr>
          <w:p w14:paraId="00000092" w14:textId="77777777" w:rsidR="00B87C1E" w:rsidRDefault="00B87C1E">
            <w:pPr>
              <w:spacing w:before="60" w:after="120" w:line="240" w:lineRule="auto"/>
              <w:rPr>
                <w:b/>
                <w:color w:val="3B66BC"/>
                <w:sz w:val="24"/>
                <w:szCs w:val="24"/>
              </w:rPr>
            </w:pPr>
          </w:p>
        </w:tc>
      </w:tr>
      <w:tr w:rsidR="00B87C1E" w14:paraId="2C70CFBB" w14:textId="77777777">
        <w:tc>
          <w:tcPr>
            <w:tcW w:w="9350" w:type="dxa"/>
            <w:gridSpan w:val="2"/>
            <w:tcBorders>
              <w:top w:val="single" w:sz="4" w:space="0" w:color="000000"/>
            </w:tcBorders>
            <w:shd w:val="clear" w:color="auto" w:fill="D6E0F2"/>
          </w:tcPr>
          <w:p w14:paraId="00000093" w14:textId="77777777" w:rsidR="00B87C1E" w:rsidRDefault="00000000">
            <w:pPr>
              <w:spacing w:before="60" w:after="100" w:line="264" w:lineRule="auto"/>
              <w:rPr>
                <w:b/>
                <w:sz w:val="36"/>
                <w:szCs w:val="36"/>
              </w:rPr>
            </w:pPr>
            <w:r>
              <w:rPr>
                <w:b/>
                <w:sz w:val="36"/>
                <w:szCs w:val="36"/>
              </w:rPr>
              <w:t>SECTION A: Intervention/activity</w:t>
            </w:r>
          </w:p>
          <w:p w14:paraId="00000094" w14:textId="77777777" w:rsidR="00B87C1E" w:rsidRDefault="00000000">
            <w:pPr>
              <w:spacing w:before="60" w:after="120" w:line="240" w:lineRule="auto"/>
              <w:rPr>
                <w:i/>
                <w:sz w:val="20"/>
                <w:szCs w:val="20"/>
              </w:rPr>
            </w:pPr>
            <w:r>
              <w:rPr>
                <w:i/>
                <w:sz w:val="20"/>
                <w:szCs w:val="20"/>
              </w:rPr>
              <w:t xml:space="preserve">Please provide details on the intervention/activity that you would like to develop the </w:t>
            </w:r>
            <w:proofErr w:type="spellStart"/>
            <w:r>
              <w:rPr>
                <w:i/>
                <w:sz w:val="20"/>
                <w:szCs w:val="20"/>
              </w:rPr>
              <w:t>ToC</w:t>
            </w:r>
            <w:proofErr w:type="spellEnd"/>
            <w:r>
              <w:rPr>
                <w:i/>
                <w:sz w:val="20"/>
                <w:szCs w:val="20"/>
              </w:rPr>
              <w:t xml:space="preserve"> for:</w:t>
            </w:r>
          </w:p>
          <w:p w14:paraId="00000095" w14:textId="77777777" w:rsidR="00B87C1E" w:rsidRDefault="00000000">
            <w:pPr>
              <w:numPr>
                <w:ilvl w:val="0"/>
                <w:numId w:val="2"/>
              </w:numPr>
              <w:spacing w:before="60" w:line="240" w:lineRule="auto"/>
              <w:rPr>
                <w:i/>
                <w:sz w:val="20"/>
                <w:szCs w:val="20"/>
              </w:rPr>
            </w:pPr>
            <w:r>
              <w:rPr>
                <w:i/>
                <w:sz w:val="20"/>
                <w:szCs w:val="20"/>
              </w:rPr>
              <w:t>Intervention name/description</w:t>
            </w:r>
          </w:p>
          <w:p w14:paraId="00000096" w14:textId="77777777" w:rsidR="00B87C1E" w:rsidRDefault="00000000">
            <w:pPr>
              <w:numPr>
                <w:ilvl w:val="0"/>
                <w:numId w:val="2"/>
              </w:numPr>
              <w:spacing w:line="240" w:lineRule="auto"/>
              <w:rPr>
                <w:i/>
                <w:sz w:val="20"/>
                <w:szCs w:val="20"/>
              </w:rPr>
            </w:pPr>
            <w:r>
              <w:rPr>
                <w:i/>
                <w:sz w:val="20"/>
                <w:szCs w:val="20"/>
              </w:rPr>
              <w:t>How the intervention maps onto the typology of approaches (</w:t>
            </w:r>
            <w:hyperlink w:anchor="bookmark=id.exb9ipaiy026">
              <w:r>
                <w:rPr>
                  <w:i/>
                  <w:color w:val="1155CC"/>
                  <w:sz w:val="20"/>
                  <w:szCs w:val="20"/>
                  <w:u w:val="single"/>
                </w:rPr>
                <w:t>see Table 1</w:t>
              </w:r>
            </w:hyperlink>
            <w:r>
              <w:rPr>
                <w:i/>
                <w:sz w:val="20"/>
                <w:szCs w:val="20"/>
              </w:rPr>
              <w:t>) to address the ethnicity degree awarding gap</w:t>
            </w:r>
          </w:p>
          <w:p w14:paraId="00000097" w14:textId="77777777" w:rsidR="00B87C1E" w:rsidRDefault="00000000">
            <w:pPr>
              <w:numPr>
                <w:ilvl w:val="0"/>
                <w:numId w:val="2"/>
              </w:numPr>
              <w:spacing w:line="240" w:lineRule="auto"/>
              <w:rPr>
                <w:i/>
                <w:sz w:val="20"/>
                <w:szCs w:val="20"/>
              </w:rPr>
            </w:pPr>
            <w:r>
              <w:rPr>
                <w:i/>
                <w:sz w:val="20"/>
                <w:szCs w:val="20"/>
              </w:rPr>
              <w:t xml:space="preserve">Background information of how the intervention has been designed/delivered </w:t>
            </w:r>
            <w:proofErr w:type="gramStart"/>
            <w:r>
              <w:rPr>
                <w:i/>
                <w:sz w:val="20"/>
                <w:szCs w:val="20"/>
              </w:rPr>
              <w:t>previously</w:t>
            </w:r>
            <w:proofErr w:type="gramEnd"/>
          </w:p>
          <w:p w14:paraId="00000098" w14:textId="77777777" w:rsidR="00B87C1E" w:rsidRDefault="00000000">
            <w:pPr>
              <w:numPr>
                <w:ilvl w:val="0"/>
                <w:numId w:val="2"/>
              </w:numPr>
              <w:spacing w:line="240" w:lineRule="auto"/>
              <w:rPr>
                <w:i/>
                <w:sz w:val="20"/>
                <w:szCs w:val="20"/>
              </w:rPr>
            </w:pPr>
            <w:r>
              <w:rPr>
                <w:i/>
                <w:sz w:val="20"/>
                <w:szCs w:val="20"/>
              </w:rPr>
              <w:t>How the intervention aims to reduce the ethnicity degree awarding gap including any suggested intermediate outcomes (e.g., sense of belonging)</w:t>
            </w:r>
          </w:p>
          <w:p w14:paraId="00000099" w14:textId="77777777" w:rsidR="00B87C1E" w:rsidRDefault="00000000">
            <w:pPr>
              <w:numPr>
                <w:ilvl w:val="0"/>
                <w:numId w:val="2"/>
              </w:numPr>
              <w:spacing w:after="120" w:line="240" w:lineRule="auto"/>
              <w:rPr>
                <w:i/>
                <w:sz w:val="20"/>
                <w:szCs w:val="20"/>
              </w:rPr>
            </w:pPr>
            <w:r>
              <w:rPr>
                <w:i/>
                <w:sz w:val="20"/>
                <w:szCs w:val="20"/>
              </w:rPr>
              <w:t xml:space="preserve">Target group (broadly addressing the ethnicity degree awarding gap or specific marginalised ethnic groups) </w:t>
            </w:r>
          </w:p>
          <w:p w14:paraId="0000009A" w14:textId="77777777" w:rsidR="00B87C1E" w:rsidRDefault="00000000">
            <w:pPr>
              <w:spacing w:before="60" w:after="120" w:line="240" w:lineRule="auto"/>
              <w:rPr>
                <w:b/>
                <w:sz w:val="24"/>
                <w:szCs w:val="24"/>
              </w:rPr>
            </w:pPr>
            <w:r>
              <w:rPr>
                <w:i/>
                <w:sz w:val="20"/>
                <w:szCs w:val="20"/>
              </w:rPr>
              <w:t>[700 words max]</w:t>
            </w:r>
          </w:p>
        </w:tc>
      </w:tr>
      <w:tr w:rsidR="00B87C1E" w14:paraId="7EDE16E4" w14:textId="77777777">
        <w:tc>
          <w:tcPr>
            <w:tcW w:w="9350" w:type="dxa"/>
            <w:gridSpan w:val="2"/>
            <w:shd w:val="clear" w:color="auto" w:fill="auto"/>
          </w:tcPr>
          <w:p w14:paraId="0000009C" w14:textId="77777777" w:rsidR="00B87C1E" w:rsidRDefault="00B87C1E">
            <w:pPr>
              <w:spacing w:before="60" w:after="100" w:line="264" w:lineRule="auto"/>
              <w:rPr>
                <w:b/>
                <w:sz w:val="24"/>
                <w:szCs w:val="24"/>
              </w:rPr>
            </w:pPr>
          </w:p>
          <w:p w14:paraId="0000009D" w14:textId="77777777" w:rsidR="00B87C1E" w:rsidRDefault="00B87C1E">
            <w:pPr>
              <w:spacing w:before="60" w:after="100" w:line="264" w:lineRule="auto"/>
              <w:rPr>
                <w:b/>
                <w:sz w:val="24"/>
                <w:szCs w:val="24"/>
              </w:rPr>
            </w:pPr>
          </w:p>
          <w:p w14:paraId="0000009E" w14:textId="77777777" w:rsidR="00B87C1E" w:rsidRDefault="00B87C1E">
            <w:pPr>
              <w:spacing w:before="60" w:after="100" w:line="264" w:lineRule="auto"/>
              <w:rPr>
                <w:b/>
                <w:sz w:val="24"/>
                <w:szCs w:val="24"/>
              </w:rPr>
            </w:pPr>
          </w:p>
          <w:p w14:paraId="0000009F" w14:textId="77777777" w:rsidR="00B87C1E" w:rsidRDefault="00B87C1E">
            <w:pPr>
              <w:spacing w:before="60" w:after="120" w:line="240" w:lineRule="auto"/>
              <w:rPr>
                <w:rFonts w:ascii="MS Gothic" w:eastAsia="MS Gothic" w:hAnsi="MS Gothic" w:cs="MS Gothic"/>
                <w:b/>
                <w:sz w:val="24"/>
                <w:szCs w:val="24"/>
              </w:rPr>
            </w:pPr>
          </w:p>
        </w:tc>
      </w:tr>
      <w:tr w:rsidR="00B87C1E" w14:paraId="29212EE0" w14:textId="77777777">
        <w:tc>
          <w:tcPr>
            <w:tcW w:w="9350" w:type="dxa"/>
            <w:gridSpan w:val="2"/>
            <w:shd w:val="clear" w:color="auto" w:fill="D6E0F2"/>
          </w:tcPr>
          <w:p w14:paraId="000000A1" w14:textId="77777777" w:rsidR="00B87C1E" w:rsidRDefault="00000000">
            <w:pPr>
              <w:spacing w:before="60" w:after="120" w:line="240" w:lineRule="auto"/>
              <w:rPr>
                <w:b/>
                <w:sz w:val="36"/>
                <w:szCs w:val="36"/>
              </w:rPr>
            </w:pPr>
            <w:r>
              <w:rPr>
                <w:b/>
                <w:sz w:val="36"/>
                <w:szCs w:val="36"/>
              </w:rPr>
              <w:lastRenderedPageBreak/>
              <w:t>SECTION B: Relevance/impact</w:t>
            </w:r>
          </w:p>
          <w:p w14:paraId="000000A2" w14:textId="77777777" w:rsidR="00B87C1E" w:rsidRDefault="00000000">
            <w:pPr>
              <w:spacing w:before="60" w:after="120" w:line="240" w:lineRule="auto"/>
              <w:rPr>
                <w:i/>
                <w:sz w:val="20"/>
                <w:szCs w:val="20"/>
              </w:rPr>
            </w:pPr>
            <w:r>
              <w:rPr>
                <w:i/>
                <w:sz w:val="20"/>
                <w:szCs w:val="20"/>
              </w:rPr>
              <w:t>Please provide details on:</w:t>
            </w:r>
          </w:p>
          <w:p w14:paraId="000000A3" w14:textId="77777777" w:rsidR="00B87C1E" w:rsidRDefault="00000000">
            <w:pPr>
              <w:numPr>
                <w:ilvl w:val="0"/>
                <w:numId w:val="1"/>
              </w:numPr>
              <w:spacing w:before="60" w:line="240" w:lineRule="auto"/>
              <w:rPr>
                <w:i/>
                <w:sz w:val="20"/>
                <w:szCs w:val="20"/>
              </w:rPr>
            </w:pPr>
            <w:r>
              <w:rPr>
                <w:i/>
                <w:sz w:val="20"/>
                <w:szCs w:val="20"/>
              </w:rPr>
              <w:t>The relevance of the intervention/activity for your provider and the wider sector</w:t>
            </w:r>
          </w:p>
          <w:p w14:paraId="000000A4" w14:textId="77777777" w:rsidR="00B87C1E" w:rsidRDefault="00000000">
            <w:pPr>
              <w:numPr>
                <w:ilvl w:val="0"/>
                <w:numId w:val="1"/>
              </w:numPr>
              <w:spacing w:before="60" w:line="240" w:lineRule="auto"/>
              <w:rPr>
                <w:i/>
                <w:sz w:val="20"/>
                <w:szCs w:val="20"/>
              </w:rPr>
            </w:pPr>
            <w:proofErr w:type="gramStart"/>
            <w:r>
              <w:rPr>
                <w:i/>
                <w:sz w:val="20"/>
                <w:szCs w:val="20"/>
              </w:rPr>
              <w:t>Future plans</w:t>
            </w:r>
            <w:proofErr w:type="gramEnd"/>
            <w:r>
              <w:rPr>
                <w:i/>
                <w:sz w:val="20"/>
                <w:szCs w:val="20"/>
              </w:rPr>
              <w:t xml:space="preserve"> for use/implementation of the </w:t>
            </w:r>
            <w:proofErr w:type="spellStart"/>
            <w:r>
              <w:rPr>
                <w:i/>
                <w:sz w:val="20"/>
                <w:szCs w:val="20"/>
              </w:rPr>
              <w:t>ToC</w:t>
            </w:r>
            <w:proofErr w:type="spellEnd"/>
          </w:p>
          <w:p w14:paraId="000000A5" w14:textId="77777777" w:rsidR="00B87C1E" w:rsidRDefault="00B87C1E">
            <w:pPr>
              <w:spacing w:after="120" w:line="240" w:lineRule="auto"/>
              <w:rPr>
                <w:i/>
                <w:sz w:val="20"/>
                <w:szCs w:val="20"/>
              </w:rPr>
            </w:pPr>
          </w:p>
          <w:p w14:paraId="000000A6" w14:textId="77777777" w:rsidR="00B87C1E" w:rsidRDefault="00000000">
            <w:pPr>
              <w:spacing w:after="120" w:line="240" w:lineRule="auto"/>
              <w:rPr>
                <w:i/>
                <w:sz w:val="20"/>
                <w:szCs w:val="20"/>
              </w:rPr>
            </w:pPr>
            <w:r>
              <w:rPr>
                <w:i/>
                <w:sz w:val="20"/>
                <w:szCs w:val="20"/>
              </w:rPr>
              <w:t>[500 words max]</w:t>
            </w:r>
          </w:p>
        </w:tc>
      </w:tr>
      <w:tr w:rsidR="00B87C1E" w14:paraId="79101F90" w14:textId="77777777">
        <w:tc>
          <w:tcPr>
            <w:tcW w:w="9350" w:type="dxa"/>
            <w:gridSpan w:val="2"/>
            <w:shd w:val="clear" w:color="auto" w:fill="auto"/>
          </w:tcPr>
          <w:p w14:paraId="000000A8" w14:textId="77777777" w:rsidR="00B87C1E" w:rsidRDefault="00B87C1E">
            <w:pPr>
              <w:spacing w:before="60" w:after="120" w:line="240" w:lineRule="auto"/>
              <w:rPr>
                <w:b/>
                <w:sz w:val="24"/>
                <w:szCs w:val="24"/>
              </w:rPr>
            </w:pPr>
          </w:p>
          <w:p w14:paraId="000000A9" w14:textId="77777777" w:rsidR="00B87C1E" w:rsidRDefault="00B87C1E">
            <w:pPr>
              <w:spacing w:before="60" w:after="120" w:line="240" w:lineRule="auto"/>
              <w:rPr>
                <w:b/>
                <w:sz w:val="24"/>
                <w:szCs w:val="24"/>
              </w:rPr>
            </w:pPr>
          </w:p>
          <w:p w14:paraId="000000AA" w14:textId="77777777" w:rsidR="00B87C1E" w:rsidRDefault="00B87C1E">
            <w:pPr>
              <w:spacing w:before="60" w:after="120" w:line="240" w:lineRule="auto"/>
              <w:rPr>
                <w:b/>
                <w:sz w:val="24"/>
                <w:szCs w:val="24"/>
              </w:rPr>
            </w:pPr>
          </w:p>
          <w:p w14:paraId="000000AB" w14:textId="77777777" w:rsidR="00B87C1E" w:rsidRDefault="00B87C1E">
            <w:pPr>
              <w:spacing w:before="60" w:after="120" w:line="240" w:lineRule="auto"/>
              <w:rPr>
                <w:b/>
                <w:sz w:val="24"/>
                <w:szCs w:val="24"/>
              </w:rPr>
            </w:pPr>
          </w:p>
        </w:tc>
      </w:tr>
      <w:tr w:rsidR="00B87C1E" w14:paraId="7A97CF7F" w14:textId="77777777">
        <w:tc>
          <w:tcPr>
            <w:tcW w:w="9350" w:type="dxa"/>
            <w:gridSpan w:val="2"/>
            <w:shd w:val="clear" w:color="auto" w:fill="D9E2F3"/>
          </w:tcPr>
          <w:p w14:paraId="000000AD" w14:textId="77777777" w:rsidR="00B87C1E" w:rsidRDefault="00000000">
            <w:pPr>
              <w:spacing w:before="60" w:after="120" w:line="240" w:lineRule="auto"/>
              <w:rPr>
                <w:i/>
                <w:sz w:val="20"/>
                <w:szCs w:val="20"/>
              </w:rPr>
            </w:pPr>
            <w:r>
              <w:rPr>
                <w:b/>
                <w:sz w:val="36"/>
                <w:szCs w:val="36"/>
              </w:rPr>
              <w:t>SECTION C: Team</w:t>
            </w:r>
          </w:p>
          <w:p w14:paraId="000000AE" w14:textId="77777777" w:rsidR="00B87C1E" w:rsidRDefault="00000000">
            <w:pPr>
              <w:spacing w:before="60" w:after="120" w:line="240" w:lineRule="auto"/>
              <w:rPr>
                <w:i/>
                <w:sz w:val="24"/>
                <w:szCs w:val="24"/>
              </w:rPr>
            </w:pPr>
            <w:r>
              <w:rPr>
                <w:i/>
                <w:sz w:val="20"/>
                <w:szCs w:val="20"/>
              </w:rPr>
              <w:t>Please provide details of the team who will be involved in delivering / supporting the development of the TOC:</w:t>
            </w:r>
          </w:p>
          <w:p w14:paraId="000000AF" w14:textId="77777777" w:rsidR="00B87C1E" w:rsidRDefault="00000000">
            <w:pPr>
              <w:numPr>
                <w:ilvl w:val="0"/>
                <w:numId w:val="2"/>
              </w:numPr>
              <w:spacing w:before="60" w:line="240" w:lineRule="auto"/>
              <w:rPr>
                <w:i/>
                <w:sz w:val="20"/>
                <w:szCs w:val="20"/>
              </w:rPr>
            </w:pPr>
            <w:r>
              <w:rPr>
                <w:i/>
                <w:sz w:val="20"/>
                <w:szCs w:val="20"/>
              </w:rPr>
              <w:t xml:space="preserve">Details of key staff who will be involved with the </w:t>
            </w:r>
            <w:proofErr w:type="spellStart"/>
            <w:r>
              <w:rPr>
                <w:i/>
                <w:sz w:val="20"/>
                <w:szCs w:val="20"/>
              </w:rPr>
              <w:t>ToC</w:t>
            </w:r>
            <w:proofErr w:type="spellEnd"/>
            <w:r>
              <w:rPr>
                <w:i/>
                <w:sz w:val="20"/>
                <w:szCs w:val="20"/>
              </w:rPr>
              <w:t xml:space="preserve"> development and working with the evaluation panel </w:t>
            </w:r>
            <w:proofErr w:type="gramStart"/>
            <w:r>
              <w:rPr>
                <w:i/>
                <w:sz w:val="20"/>
                <w:szCs w:val="20"/>
              </w:rPr>
              <w:t>member</w:t>
            </w:r>
            <w:proofErr w:type="gramEnd"/>
          </w:p>
          <w:p w14:paraId="000000B0" w14:textId="77777777" w:rsidR="00B87C1E" w:rsidRDefault="00000000">
            <w:pPr>
              <w:numPr>
                <w:ilvl w:val="0"/>
                <w:numId w:val="2"/>
              </w:numPr>
              <w:spacing w:before="60" w:line="240" w:lineRule="auto"/>
              <w:rPr>
                <w:i/>
                <w:sz w:val="20"/>
                <w:szCs w:val="20"/>
              </w:rPr>
            </w:pPr>
            <w:r>
              <w:rPr>
                <w:i/>
                <w:sz w:val="20"/>
                <w:szCs w:val="20"/>
              </w:rPr>
              <w:t>Relevant knowledge and skills (of both the topic area and evaluation)</w:t>
            </w:r>
          </w:p>
          <w:p w14:paraId="000000B1" w14:textId="77777777" w:rsidR="00B87C1E" w:rsidRDefault="00000000">
            <w:pPr>
              <w:numPr>
                <w:ilvl w:val="0"/>
                <w:numId w:val="2"/>
              </w:numPr>
              <w:spacing w:before="60" w:line="240" w:lineRule="auto"/>
              <w:rPr>
                <w:i/>
                <w:sz w:val="20"/>
                <w:szCs w:val="20"/>
              </w:rPr>
            </w:pPr>
            <w:r>
              <w:rPr>
                <w:i/>
                <w:sz w:val="20"/>
                <w:szCs w:val="20"/>
              </w:rPr>
              <w:t>The team’s commitment to evidence-informed practice</w:t>
            </w:r>
          </w:p>
          <w:p w14:paraId="000000B2" w14:textId="77777777" w:rsidR="00B87C1E" w:rsidRDefault="00000000">
            <w:pPr>
              <w:numPr>
                <w:ilvl w:val="0"/>
                <w:numId w:val="2"/>
              </w:numPr>
              <w:spacing w:before="60" w:line="240" w:lineRule="auto"/>
              <w:rPr>
                <w:i/>
                <w:sz w:val="20"/>
                <w:szCs w:val="20"/>
              </w:rPr>
            </w:pPr>
            <w:r>
              <w:rPr>
                <w:i/>
                <w:sz w:val="20"/>
                <w:szCs w:val="20"/>
              </w:rPr>
              <w:t xml:space="preserve">The team’s approach to transparency and accountability when working with independent </w:t>
            </w:r>
            <w:proofErr w:type="gramStart"/>
            <w:r>
              <w:rPr>
                <w:i/>
                <w:sz w:val="20"/>
                <w:szCs w:val="20"/>
              </w:rPr>
              <w:t>evaluators</w:t>
            </w:r>
            <w:proofErr w:type="gramEnd"/>
          </w:p>
          <w:p w14:paraId="000000B3" w14:textId="77777777" w:rsidR="00B87C1E" w:rsidRDefault="00000000">
            <w:pPr>
              <w:numPr>
                <w:ilvl w:val="0"/>
                <w:numId w:val="2"/>
              </w:numPr>
              <w:spacing w:before="60" w:line="240" w:lineRule="auto"/>
              <w:rPr>
                <w:i/>
                <w:sz w:val="20"/>
                <w:szCs w:val="20"/>
              </w:rPr>
            </w:pPr>
            <w:r>
              <w:rPr>
                <w:i/>
                <w:sz w:val="20"/>
                <w:szCs w:val="20"/>
              </w:rPr>
              <w:t xml:space="preserve">Capacity to meet key responsibilities in </w:t>
            </w:r>
            <w:hyperlink w:anchor="bookmark=id.i5gxoba75ncp">
              <w:r>
                <w:rPr>
                  <w:i/>
                  <w:color w:val="1155CC"/>
                  <w:sz w:val="20"/>
                  <w:szCs w:val="20"/>
                  <w:u w:val="single"/>
                </w:rPr>
                <w:t>Table 2</w:t>
              </w:r>
            </w:hyperlink>
          </w:p>
          <w:p w14:paraId="000000B4" w14:textId="77777777" w:rsidR="00B87C1E" w:rsidRDefault="00B87C1E">
            <w:pPr>
              <w:spacing w:before="60" w:after="120" w:line="240" w:lineRule="auto"/>
              <w:rPr>
                <w:i/>
                <w:sz w:val="20"/>
                <w:szCs w:val="20"/>
              </w:rPr>
            </w:pPr>
          </w:p>
          <w:p w14:paraId="000000B5" w14:textId="77777777" w:rsidR="00B87C1E" w:rsidRDefault="00000000">
            <w:pPr>
              <w:spacing w:before="60" w:after="120" w:line="240" w:lineRule="auto"/>
              <w:rPr>
                <w:b/>
                <w:sz w:val="36"/>
                <w:szCs w:val="36"/>
              </w:rPr>
            </w:pPr>
            <w:r>
              <w:rPr>
                <w:i/>
                <w:sz w:val="20"/>
                <w:szCs w:val="20"/>
              </w:rPr>
              <w:t>[500 words max]</w:t>
            </w:r>
          </w:p>
        </w:tc>
      </w:tr>
      <w:tr w:rsidR="00B87C1E" w14:paraId="2D002277" w14:textId="77777777">
        <w:tc>
          <w:tcPr>
            <w:tcW w:w="9350" w:type="dxa"/>
            <w:gridSpan w:val="2"/>
            <w:shd w:val="clear" w:color="auto" w:fill="auto"/>
          </w:tcPr>
          <w:p w14:paraId="000000B7" w14:textId="77777777" w:rsidR="00B87C1E" w:rsidRDefault="00B87C1E">
            <w:pPr>
              <w:spacing w:line="264" w:lineRule="auto"/>
              <w:rPr>
                <w:color w:val="3B66BC"/>
                <w:sz w:val="24"/>
                <w:szCs w:val="24"/>
              </w:rPr>
            </w:pPr>
          </w:p>
          <w:p w14:paraId="000000B8" w14:textId="77777777" w:rsidR="00B87C1E" w:rsidRDefault="00B87C1E">
            <w:pPr>
              <w:spacing w:line="264" w:lineRule="auto"/>
              <w:rPr>
                <w:color w:val="3B66BC"/>
                <w:sz w:val="24"/>
                <w:szCs w:val="24"/>
              </w:rPr>
            </w:pPr>
          </w:p>
          <w:p w14:paraId="000000B9" w14:textId="77777777" w:rsidR="00B87C1E" w:rsidRDefault="00B87C1E">
            <w:pPr>
              <w:spacing w:line="264" w:lineRule="auto"/>
              <w:rPr>
                <w:color w:val="3B66BC"/>
                <w:sz w:val="24"/>
                <w:szCs w:val="24"/>
              </w:rPr>
            </w:pPr>
          </w:p>
          <w:p w14:paraId="000000BA" w14:textId="77777777" w:rsidR="00B87C1E" w:rsidRDefault="00B87C1E">
            <w:pPr>
              <w:spacing w:line="264" w:lineRule="auto"/>
              <w:rPr>
                <w:color w:val="3B66BC"/>
                <w:sz w:val="24"/>
                <w:szCs w:val="24"/>
              </w:rPr>
            </w:pPr>
          </w:p>
          <w:p w14:paraId="000000BB" w14:textId="77777777" w:rsidR="00B87C1E" w:rsidRDefault="00B87C1E">
            <w:pPr>
              <w:spacing w:line="264" w:lineRule="auto"/>
              <w:rPr>
                <w:color w:val="3B66BC"/>
                <w:sz w:val="24"/>
                <w:szCs w:val="24"/>
              </w:rPr>
            </w:pPr>
          </w:p>
          <w:p w14:paraId="000000BC" w14:textId="77777777" w:rsidR="00B87C1E" w:rsidRDefault="00B87C1E">
            <w:pPr>
              <w:spacing w:line="264" w:lineRule="auto"/>
              <w:rPr>
                <w:color w:val="3B66BC"/>
                <w:sz w:val="24"/>
                <w:szCs w:val="24"/>
              </w:rPr>
            </w:pPr>
          </w:p>
        </w:tc>
      </w:tr>
    </w:tbl>
    <w:p w14:paraId="000000BE" w14:textId="77777777" w:rsidR="00B87C1E" w:rsidRDefault="00000000">
      <w:pPr>
        <w:keepNext/>
        <w:keepLines/>
        <w:pBdr>
          <w:top w:val="nil"/>
          <w:left w:val="nil"/>
          <w:bottom w:val="nil"/>
          <w:right w:val="nil"/>
          <w:between w:val="nil"/>
        </w:pBdr>
        <w:spacing w:before="60" w:after="120"/>
      </w:pPr>
      <w:r>
        <w:br w:type="page"/>
      </w:r>
    </w:p>
    <w:p w14:paraId="000000BF" w14:textId="77777777" w:rsidR="00B87C1E" w:rsidRDefault="00000000">
      <w:pPr>
        <w:keepNext/>
        <w:keepLines/>
        <w:pBdr>
          <w:top w:val="nil"/>
          <w:left w:val="nil"/>
          <w:bottom w:val="nil"/>
          <w:right w:val="nil"/>
          <w:between w:val="nil"/>
        </w:pBdr>
        <w:spacing w:before="60" w:after="120"/>
        <w:rPr>
          <w:i/>
          <w:color w:val="434343"/>
          <w:sz w:val="24"/>
          <w:szCs w:val="24"/>
        </w:rPr>
      </w:pPr>
      <w:r>
        <w:rPr>
          <w:i/>
          <w:color w:val="434343"/>
          <w:sz w:val="24"/>
          <w:szCs w:val="24"/>
        </w:rPr>
        <w:lastRenderedPageBreak/>
        <w:t>Additional guidance</w:t>
      </w:r>
    </w:p>
    <w:p w14:paraId="000000C0" w14:textId="77777777" w:rsidR="00B87C1E" w:rsidRDefault="00000000">
      <w:pPr>
        <w:numPr>
          <w:ilvl w:val="0"/>
          <w:numId w:val="5"/>
        </w:numPr>
        <w:pBdr>
          <w:top w:val="nil"/>
          <w:left w:val="nil"/>
          <w:bottom w:val="nil"/>
          <w:right w:val="nil"/>
          <w:between w:val="nil"/>
        </w:pBdr>
        <w:spacing w:before="60"/>
        <w:rPr>
          <w:color w:val="000000"/>
        </w:rPr>
      </w:pPr>
      <w:r>
        <w:rPr>
          <w:color w:val="000000"/>
        </w:rPr>
        <w:t>TASO reserves the right, acting reasonably, to:</w:t>
      </w:r>
    </w:p>
    <w:p w14:paraId="000000C1" w14:textId="77777777" w:rsidR="00B87C1E" w:rsidRDefault="00000000">
      <w:pPr>
        <w:numPr>
          <w:ilvl w:val="1"/>
          <w:numId w:val="5"/>
        </w:numPr>
        <w:pBdr>
          <w:top w:val="nil"/>
          <w:left w:val="nil"/>
          <w:bottom w:val="nil"/>
          <w:right w:val="nil"/>
          <w:between w:val="nil"/>
        </w:pBdr>
        <w:rPr>
          <w:color w:val="000000"/>
        </w:rPr>
      </w:pPr>
      <w:r>
        <w:rPr>
          <w:color w:val="000000"/>
        </w:rPr>
        <w:t xml:space="preserve">Discontinue the award procedure in the absence of appropriate </w:t>
      </w:r>
      <w:proofErr w:type="gramStart"/>
      <w:r>
        <w:rPr>
          <w:color w:val="000000"/>
        </w:rPr>
        <w:t>applications;</w:t>
      </w:r>
      <w:proofErr w:type="gramEnd"/>
      <w:r>
        <w:rPr>
          <w:color w:val="000000"/>
        </w:rPr>
        <w:t xml:space="preserve">  </w:t>
      </w:r>
    </w:p>
    <w:p w14:paraId="000000C2" w14:textId="77777777" w:rsidR="00B87C1E" w:rsidRDefault="00000000">
      <w:pPr>
        <w:numPr>
          <w:ilvl w:val="1"/>
          <w:numId w:val="5"/>
        </w:numPr>
        <w:pBdr>
          <w:top w:val="nil"/>
          <w:left w:val="nil"/>
          <w:bottom w:val="nil"/>
          <w:right w:val="nil"/>
          <w:between w:val="nil"/>
        </w:pBdr>
        <w:rPr>
          <w:color w:val="000000"/>
        </w:rPr>
      </w:pPr>
      <w:r>
        <w:rPr>
          <w:color w:val="000000"/>
        </w:rPr>
        <w:t xml:space="preserve">Change the timetable for the procurement of the Contract, and in such circumstances TASO will notify all applicants of any change by the fastest means </w:t>
      </w:r>
      <w:proofErr w:type="gramStart"/>
      <w:r>
        <w:rPr>
          <w:color w:val="000000"/>
        </w:rPr>
        <w:t>possible;</w:t>
      </w:r>
      <w:proofErr w:type="gramEnd"/>
    </w:p>
    <w:p w14:paraId="000000C3" w14:textId="77777777" w:rsidR="00B87C1E" w:rsidRDefault="00000000">
      <w:pPr>
        <w:numPr>
          <w:ilvl w:val="1"/>
          <w:numId w:val="5"/>
        </w:numPr>
        <w:pBdr>
          <w:top w:val="nil"/>
          <w:left w:val="nil"/>
          <w:bottom w:val="nil"/>
          <w:right w:val="nil"/>
          <w:between w:val="nil"/>
        </w:pBdr>
        <w:rPr>
          <w:color w:val="000000"/>
        </w:rPr>
      </w:pPr>
      <w:r>
        <w:rPr>
          <w:color w:val="000000"/>
        </w:rPr>
        <w:t xml:space="preserve">Terminate discussions with organisations which </w:t>
      </w:r>
      <w:proofErr w:type="gramStart"/>
      <w:r>
        <w:rPr>
          <w:color w:val="000000"/>
        </w:rPr>
        <w:t>apply;</w:t>
      </w:r>
      <w:proofErr w:type="gramEnd"/>
      <w:r>
        <w:rPr>
          <w:color w:val="000000"/>
        </w:rPr>
        <w:t xml:space="preserve"> </w:t>
      </w:r>
    </w:p>
    <w:p w14:paraId="000000C4" w14:textId="77777777" w:rsidR="00B87C1E" w:rsidRDefault="00000000">
      <w:pPr>
        <w:numPr>
          <w:ilvl w:val="1"/>
          <w:numId w:val="5"/>
        </w:numPr>
        <w:pBdr>
          <w:top w:val="nil"/>
          <w:left w:val="nil"/>
          <w:bottom w:val="nil"/>
          <w:right w:val="nil"/>
          <w:between w:val="nil"/>
        </w:pBdr>
        <w:rPr>
          <w:color w:val="000000"/>
        </w:rPr>
      </w:pPr>
      <w:r>
        <w:rPr>
          <w:color w:val="000000"/>
        </w:rPr>
        <w:t xml:space="preserve">Discontinue the procedure leading to the award of the </w:t>
      </w:r>
      <w:proofErr w:type="gramStart"/>
      <w:r>
        <w:rPr>
          <w:color w:val="000000"/>
        </w:rPr>
        <w:t>Contract;</w:t>
      </w:r>
      <w:proofErr w:type="gramEnd"/>
    </w:p>
    <w:p w14:paraId="000000C5" w14:textId="77777777" w:rsidR="00B87C1E" w:rsidRDefault="00000000">
      <w:pPr>
        <w:numPr>
          <w:ilvl w:val="1"/>
          <w:numId w:val="5"/>
        </w:numPr>
        <w:pBdr>
          <w:top w:val="nil"/>
          <w:left w:val="nil"/>
          <w:bottom w:val="nil"/>
          <w:right w:val="nil"/>
          <w:between w:val="nil"/>
        </w:pBdr>
        <w:rPr>
          <w:color w:val="000000"/>
        </w:rPr>
      </w:pPr>
      <w:r>
        <w:rPr>
          <w:color w:val="000000"/>
        </w:rPr>
        <w:t>Not to award any Contract at all as a result of this process</w:t>
      </w:r>
    </w:p>
    <w:p w14:paraId="000000C6" w14:textId="77777777" w:rsidR="00B87C1E" w:rsidRDefault="00000000">
      <w:pPr>
        <w:numPr>
          <w:ilvl w:val="0"/>
          <w:numId w:val="5"/>
        </w:numPr>
        <w:pBdr>
          <w:top w:val="nil"/>
          <w:left w:val="nil"/>
          <w:bottom w:val="nil"/>
          <w:right w:val="nil"/>
          <w:between w:val="nil"/>
        </w:pBdr>
        <w:rPr>
          <w:color w:val="000000"/>
        </w:rPr>
      </w:pPr>
      <w:r>
        <w:rPr>
          <w:color w:val="000000"/>
        </w:rPr>
        <w:t>Under no circumstances shall TASO incur any liability in respect of any of these actions.</w:t>
      </w:r>
    </w:p>
    <w:p w14:paraId="000000C7" w14:textId="77777777" w:rsidR="00B87C1E" w:rsidRDefault="00000000">
      <w:pPr>
        <w:numPr>
          <w:ilvl w:val="0"/>
          <w:numId w:val="5"/>
        </w:numPr>
        <w:pBdr>
          <w:top w:val="nil"/>
          <w:left w:val="nil"/>
          <w:bottom w:val="nil"/>
          <w:right w:val="nil"/>
          <w:between w:val="nil"/>
        </w:pBdr>
        <w:rPr>
          <w:color w:val="000000"/>
        </w:rPr>
      </w:pPr>
      <w:r>
        <w:rPr>
          <w:color w:val="000000"/>
        </w:rPr>
        <w:t>No publicity regarding the project will be permitted until TASO has given express written consent to the relevant communication. No statements may be made to any part of the media regarding the nature of this application, its contents or any proposals relating to it without the prior written consent of TASO.</w:t>
      </w:r>
    </w:p>
    <w:p w14:paraId="000000C8" w14:textId="77777777" w:rsidR="00B87C1E" w:rsidRDefault="00000000">
      <w:pPr>
        <w:numPr>
          <w:ilvl w:val="0"/>
          <w:numId w:val="5"/>
        </w:numPr>
        <w:pBdr>
          <w:top w:val="nil"/>
          <w:left w:val="nil"/>
          <w:bottom w:val="nil"/>
          <w:right w:val="nil"/>
          <w:between w:val="nil"/>
        </w:pBdr>
        <w:rPr>
          <w:color w:val="000000"/>
        </w:rPr>
      </w:pPr>
      <w:r>
        <w:rPr>
          <w:color w:val="000000"/>
        </w:rPr>
        <w:t xml:space="preserve">TASO will not reimburse any costs incurred by organisations in connection with preparation of their applications. </w:t>
      </w:r>
    </w:p>
    <w:p w14:paraId="000000C9" w14:textId="77777777" w:rsidR="00B87C1E" w:rsidRDefault="00000000">
      <w:pPr>
        <w:numPr>
          <w:ilvl w:val="0"/>
          <w:numId w:val="5"/>
        </w:numPr>
        <w:pBdr>
          <w:top w:val="nil"/>
          <w:left w:val="nil"/>
          <w:bottom w:val="nil"/>
          <w:right w:val="nil"/>
          <w:between w:val="nil"/>
        </w:pBdr>
        <w:rPr>
          <w:color w:val="000000"/>
        </w:rPr>
      </w:pPr>
      <w:r>
        <w:rPr>
          <w:color w:val="000000"/>
        </w:rPr>
        <w:t xml:space="preserve">If you are unsure of the meaning of a question or anything in this call for </w:t>
      </w:r>
      <w:proofErr w:type="gramStart"/>
      <w:r>
        <w:rPr>
          <w:color w:val="000000"/>
        </w:rPr>
        <w:t>applications</w:t>
      </w:r>
      <w:proofErr w:type="gramEnd"/>
      <w:r>
        <w:rPr>
          <w:color w:val="000000"/>
        </w:rPr>
        <w:t xml:space="preserve"> then it is your responsibility to ask TASO to clarify in writing via email.</w:t>
      </w:r>
    </w:p>
    <w:p w14:paraId="000000CA" w14:textId="77777777" w:rsidR="00B87C1E" w:rsidRDefault="00000000">
      <w:pPr>
        <w:numPr>
          <w:ilvl w:val="0"/>
          <w:numId w:val="5"/>
        </w:numPr>
        <w:pBdr>
          <w:top w:val="nil"/>
          <w:left w:val="nil"/>
          <w:bottom w:val="nil"/>
          <w:right w:val="nil"/>
          <w:between w:val="nil"/>
        </w:pBdr>
        <w:rPr>
          <w:color w:val="000000"/>
        </w:rPr>
      </w:pPr>
      <w:r>
        <w:rPr>
          <w:color w:val="000000"/>
        </w:rPr>
        <w:t xml:space="preserve">TASO will aim to answer clarification questions within five (5) working </w:t>
      </w:r>
      <w:proofErr w:type="gramStart"/>
      <w:r>
        <w:rPr>
          <w:color w:val="000000"/>
        </w:rPr>
        <w:t>days, but</w:t>
      </w:r>
      <w:proofErr w:type="gramEnd"/>
      <w:r>
        <w:rPr>
          <w:color w:val="000000"/>
        </w:rPr>
        <w:t xml:space="preserve"> does not undertake to do so. TASO may also decline to answer a question if it deems the question to be inappropriate. If TASO is unable to answer a question, this will be communicated.</w:t>
      </w:r>
    </w:p>
    <w:p w14:paraId="000000CB" w14:textId="77777777" w:rsidR="00B87C1E" w:rsidRDefault="00B87C1E"/>
    <w:sectPr w:rsidR="00B87C1E">
      <w:headerReference w:type="default" r:id="rId16"/>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023F" w14:textId="77777777" w:rsidR="007D631F" w:rsidRDefault="007D631F">
      <w:pPr>
        <w:spacing w:line="240" w:lineRule="auto"/>
      </w:pPr>
      <w:r>
        <w:separator/>
      </w:r>
    </w:p>
  </w:endnote>
  <w:endnote w:type="continuationSeparator" w:id="0">
    <w:p w14:paraId="773AB641" w14:textId="77777777" w:rsidR="007D631F" w:rsidRDefault="007D6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02E9EA7E" w:rsidR="00B87C1E" w:rsidRDefault="00000000">
    <w:pPr>
      <w:jc w:val="right"/>
    </w:pPr>
    <w:r>
      <w:fldChar w:fldCharType="begin"/>
    </w:r>
    <w:r>
      <w:instrText>PAGE</w:instrText>
    </w:r>
    <w:r>
      <w:fldChar w:fldCharType="separate"/>
    </w:r>
    <w:r w:rsidR="00481DF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7718" w14:textId="77777777" w:rsidR="007D631F" w:rsidRDefault="007D631F">
      <w:pPr>
        <w:spacing w:line="240" w:lineRule="auto"/>
      </w:pPr>
      <w:r>
        <w:separator/>
      </w:r>
    </w:p>
  </w:footnote>
  <w:footnote w:type="continuationSeparator" w:id="0">
    <w:p w14:paraId="5E9B4671" w14:textId="77777777" w:rsidR="007D631F" w:rsidRDefault="007D63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C" w14:textId="77777777" w:rsidR="00B87C1E" w:rsidRDefault="00000000">
    <w:r>
      <w:rPr>
        <w:noProof/>
      </w:rPr>
      <w:drawing>
        <wp:anchor distT="0" distB="101600" distL="0" distR="0" simplePos="0" relativeHeight="251658240" behindDoc="0" locked="0" layoutInCell="1" hidden="0" allowOverlap="1" wp14:anchorId="2F9D0573" wp14:editId="35E6D1CA">
          <wp:simplePos x="0" y="0"/>
          <wp:positionH relativeFrom="column">
            <wp:posOffset>-847087</wp:posOffset>
          </wp:positionH>
          <wp:positionV relativeFrom="paragraph">
            <wp:posOffset>149860</wp:posOffset>
          </wp:positionV>
          <wp:extent cx="2690813" cy="806338"/>
          <wp:effectExtent l="0" t="0" r="0" b="0"/>
          <wp:wrapSquare wrapText="bothSides" distT="0" distB="101600" distL="0" distR="0"/>
          <wp:docPr id="261300550"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2690813" cy="806338"/>
                  </a:xfrm>
                  <a:prstGeom prst="rect">
                    <a:avLst/>
                  </a:prstGeom>
                  <a:ln/>
                </pic:spPr>
              </pic:pic>
            </a:graphicData>
          </a:graphic>
        </wp:anchor>
      </w:drawing>
    </w:r>
  </w:p>
  <w:p w14:paraId="000000CD" w14:textId="77777777" w:rsidR="00B87C1E" w:rsidRDefault="00B87C1E"/>
  <w:p w14:paraId="000000CE" w14:textId="77777777" w:rsidR="00B87C1E" w:rsidRDefault="00B87C1E"/>
  <w:p w14:paraId="000000CF" w14:textId="77777777" w:rsidR="00B87C1E" w:rsidRDefault="00B87C1E"/>
  <w:p w14:paraId="000000D0" w14:textId="77777777" w:rsidR="00B87C1E" w:rsidRDefault="00B87C1E"/>
  <w:p w14:paraId="000000D1" w14:textId="77777777" w:rsidR="00B87C1E" w:rsidRDefault="00B87C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718DF"/>
    <w:multiLevelType w:val="multilevel"/>
    <w:tmpl w:val="C6A2C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CE7010"/>
    <w:multiLevelType w:val="multilevel"/>
    <w:tmpl w:val="BDDE6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F207CE"/>
    <w:multiLevelType w:val="multilevel"/>
    <w:tmpl w:val="15EEA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545FCB"/>
    <w:multiLevelType w:val="multilevel"/>
    <w:tmpl w:val="8F8A31F6"/>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C75691F"/>
    <w:multiLevelType w:val="multilevel"/>
    <w:tmpl w:val="44585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3118123">
    <w:abstractNumId w:val="3"/>
  </w:num>
  <w:num w:numId="2" w16cid:durableId="1674452147">
    <w:abstractNumId w:val="0"/>
  </w:num>
  <w:num w:numId="3" w16cid:durableId="1026247349">
    <w:abstractNumId w:val="4"/>
  </w:num>
  <w:num w:numId="4" w16cid:durableId="1555703695">
    <w:abstractNumId w:val="2"/>
  </w:num>
  <w:num w:numId="5" w16cid:durableId="1200047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1E"/>
    <w:rsid w:val="003A7C43"/>
    <w:rsid w:val="00481DF2"/>
    <w:rsid w:val="007D631F"/>
    <w:rsid w:val="00AB4E55"/>
    <w:rsid w:val="00B87C1E"/>
    <w:rsid w:val="00C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BA20416-4D08-4345-A51A-2AA4BAD1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D2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66B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C016C7"/>
    <w:pPr>
      <w:ind w:left="720"/>
      <w:contextualSpacing/>
    </w:pPr>
  </w:style>
  <w:style w:type="paragraph" w:styleId="NormalWeb">
    <w:name w:val="Normal (Web)"/>
    <w:basedOn w:val="Normal"/>
    <w:uiPriority w:val="99"/>
    <w:semiHidden/>
    <w:unhideWhenUsed/>
    <w:rsid w:val="00F97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3C7"/>
    <w:rPr>
      <w:color w:val="0563C1" w:themeColor="hyperlink"/>
      <w:u w:val="single"/>
    </w:rPr>
  </w:style>
  <w:style w:type="character" w:styleId="UnresolvedMention">
    <w:name w:val="Unresolved Mention"/>
    <w:basedOn w:val="DefaultParagraphFont"/>
    <w:uiPriority w:val="99"/>
    <w:rsid w:val="007163C7"/>
    <w:rPr>
      <w:color w:val="605E5C"/>
      <w:shd w:val="clear" w:color="auto" w:fill="E1DFDD"/>
    </w:rPr>
  </w:style>
  <w:style w:type="character" w:styleId="FollowedHyperlink">
    <w:name w:val="FollowedHyperlink"/>
    <w:basedOn w:val="DefaultParagraphFont"/>
    <w:uiPriority w:val="99"/>
    <w:semiHidden/>
    <w:unhideWhenUsed/>
    <w:rsid w:val="007163C7"/>
    <w:rPr>
      <w:color w:val="954F72" w:themeColor="followedHyperlink"/>
      <w:u w:val="single"/>
    </w:rPr>
  </w:style>
  <w:style w:type="character" w:customStyle="1" w:styleId="Heading2Char">
    <w:name w:val="Heading 2 Char"/>
    <w:basedOn w:val="DefaultParagraphFont"/>
    <w:link w:val="Heading2"/>
    <w:uiPriority w:val="9"/>
    <w:rsid w:val="00ED2C30"/>
    <w:rPr>
      <w:rFonts w:ascii="Times New Roman" w:eastAsia="Times New Roman" w:hAnsi="Times New Roman" w:cs="Times New Roman"/>
      <w:b/>
      <w:bCs/>
      <w:sz w:val="36"/>
      <w:szCs w:val="36"/>
      <w:lang w:eastAsia="en-GB"/>
    </w:rPr>
  </w:style>
  <w:style w:type="character" w:customStyle="1" w:styleId="normaltextrun">
    <w:name w:val="normaltextrun"/>
    <w:basedOn w:val="DefaultParagraphFont"/>
    <w:rsid w:val="00BA1693"/>
  </w:style>
  <w:style w:type="character" w:styleId="CommentReference">
    <w:name w:val="annotation reference"/>
    <w:basedOn w:val="DefaultParagraphFont"/>
    <w:uiPriority w:val="99"/>
    <w:semiHidden/>
    <w:unhideWhenUsed/>
    <w:rsid w:val="00E3189B"/>
    <w:rPr>
      <w:sz w:val="16"/>
      <w:szCs w:val="16"/>
    </w:rPr>
  </w:style>
  <w:style w:type="paragraph" w:styleId="CommentText">
    <w:name w:val="annotation text"/>
    <w:basedOn w:val="Normal"/>
    <w:link w:val="CommentTextChar"/>
    <w:uiPriority w:val="99"/>
    <w:unhideWhenUsed/>
    <w:rsid w:val="00E3189B"/>
    <w:pPr>
      <w:spacing w:line="240" w:lineRule="auto"/>
    </w:pPr>
    <w:rPr>
      <w:sz w:val="20"/>
      <w:szCs w:val="20"/>
    </w:rPr>
  </w:style>
  <w:style w:type="character" w:customStyle="1" w:styleId="CommentTextChar">
    <w:name w:val="Comment Text Char"/>
    <w:basedOn w:val="DefaultParagraphFont"/>
    <w:link w:val="CommentText"/>
    <w:uiPriority w:val="99"/>
    <w:rsid w:val="00E3189B"/>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E3189B"/>
    <w:rPr>
      <w:b/>
      <w:bCs/>
    </w:rPr>
  </w:style>
  <w:style w:type="character" w:customStyle="1" w:styleId="CommentSubjectChar">
    <w:name w:val="Comment Subject Char"/>
    <w:basedOn w:val="CommentTextChar"/>
    <w:link w:val="CommentSubject"/>
    <w:uiPriority w:val="99"/>
    <w:semiHidden/>
    <w:rsid w:val="00E3189B"/>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E3189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89B"/>
    <w:rPr>
      <w:rFonts w:ascii="Times New Roman" w:eastAsia="Arial" w:hAnsi="Times New Roman" w:cs="Times New Roman"/>
      <w:sz w:val="18"/>
      <w:szCs w:val="18"/>
      <w:lang w:eastAsia="en-GB"/>
    </w:rPr>
  </w:style>
  <w:style w:type="paragraph" w:customStyle="1" w:styleId="paragraph">
    <w:name w:val="paragraph"/>
    <w:basedOn w:val="Normal"/>
    <w:rsid w:val="00716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6428"/>
  </w:style>
  <w:style w:type="paragraph" w:styleId="Header">
    <w:name w:val="header"/>
    <w:basedOn w:val="Normal"/>
    <w:link w:val="HeaderChar"/>
    <w:uiPriority w:val="99"/>
    <w:unhideWhenUsed/>
    <w:rsid w:val="00D85DA7"/>
    <w:pPr>
      <w:tabs>
        <w:tab w:val="center" w:pos="4513"/>
        <w:tab w:val="right" w:pos="9026"/>
      </w:tabs>
      <w:spacing w:line="240" w:lineRule="auto"/>
    </w:pPr>
  </w:style>
  <w:style w:type="character" w:customStyle="1" w:styleId="HeaderChar">
    <w:name w:val="Header Char"/>
    <w:basedOn w:val="DefaultParagraphFont"/>
    <w:link w:val="Header"/>
    <w:uiPriority w:val="99"/>
    <w:rsid w:val="00D85DA7"/>
    <w:rPr>
      <w:rFonts w:ascii="Arial" w:eastAsia="Arial" w:hAnsi="Arial" w:cs="Arial"/>
      <w:sz w:val="22"/>
      <w:szCs w:val="22"/>
      <w:lang w:eastAsia="en-GB"/>
    </w:rPr>
  </w:style>
  <w:style w:type="paragraph" w:styleId="Footer">
    <w:name w:val="footer"/>
    <w:basedOn w:val="Normal"/>
    <w:link w:val="FooterChar"/>
    <w:uiPriority w:val="99"/>
    <w:unhideWhenUsed/>
    <w:rsid w:val="00D85DA7"/>
    <w:pPr>
      <w:tabs>
        <w:tab w:val="center" w:pos="4513"/>
        <w:tab w:val="right" w:pos="9026"/>
      </w:tabs>
      <w:spacing w:line="240" w:lineRule="auto"/>
    </w:pPr>
  </w:style>
  <w:style w:type="character" w:customStyle="1" w:styleId="FooterChar">
    <w:name w:val="Footer Char"/>
    <w:basedOn w:val="DefaultParagraphFont"/>
    <w:link w:val="Footer"/>
    <w:uiPriority w:val="99"/>
    <w:rsid w:val="00D85DA7"/>
    <w:rPr>
      <w:rFonts w:ascii="Arial" w:eastAsia="Arial" w:hAnsi="Arial" w:cs="Arial"/>
      <w:sz w:val="22"/>
      <w:szCs w:val="22"/>
      <w:lang w:eastAsia="en-GB"/>
    </w:rPr>
  </w:style>
  <w:style w:type="table" w:styleId="TableGrid">
    <w:name w:val="Table Grid"/>
    <w:basedOn w:val="TableNormal"/>
    <w:uiPriority w:val="59"/>
    <w:rsid w:val="0067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735E2"/>
    <w:rPr>
      <w:rFonts w:ascii="Arial" w:eastAsia="Arial" w:hAnsi="Arial" w:cs="Arial"/>
      <w:sz w:val="22"/>
      <w:szCs w:val="22"/>
      <w:lang w:eastAsia="en-GB"/>
    </w:rPr>
  </w:style>
  <w:style w:type="character" w:customStyle="1" w:styleId="Heading3Char">
    <w:name w:val="Heading 3 Char"/>
    <w:basedOn w:val="DefaultParagraphFont"/>
    <w:link w:val="Heading3"/>
    <w:uiPriority w:val="9"/>
    <w:semiHidden/>
    <w:rsid w:val="00A66B47"/>
    <w:rPr>
      <w:rFonts w:asciiTheme="majorHAnsi" w:eastAsiaTheme="majorEastAsia" w:hAnsiTheme="majorHAnsi" w:cstheme="majorBidi"/>
      <w:color w:val="1F3763" w:themeColor="accent1" w:themeShade="7F"/>
      <w:lang w:eastAsia="en-GB"/>
    </w:rPr>
  </w:style>
  <w:style w:type="table" w:customStyle="1" w:styleId="TableGrid1">
    <w:name w:val="Table Grid1"/>
    <w:basedOn w:val="TableNormal"/>
    <w:next w:val="TableGrid"/>
    <w:uiPriority w:val="59"/>
    <w:rsid w:val="005C6147"/>
    <w:pPr>
      <w:pBdr>
        <w:top w:val="nil"/>
        <w:left w:val="nil"/>
        <w:bottom w:val="nil"/>
        <w:right w:val="nil"/>
        <w:between w:val="nil"/>
      </w:pBdr>
    </w:pPr>
    <w:rPr>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color w:val="000000"/>
    </w:rPr>
    <w:tblPr>
      <w:tblStyleRowBandSize w:val="1"/>
      <w:tblStyleColBandSize w:val="1"/>
    </w:tblPr>
  </w:style>
  <w:style w:type="table" w:customStyle="1" w:styleId="a0">
    <w:basedOn w:val="TableNormal"/>
    <w:pPr>
      <w:pBdr>
        <w:top w:val="nil"/>
        <w:left w:val="nil"/>
        <w:bottom w:val="nil"/>
        <w:right w:val="nil"/>
        <w:between w:val="nil"/>
      </w:pBdr>
    </w:pPr>
    <w:rPr>
      <w:color w:val="000000"/>
    </w:rPr>
    <w:tblPr>
      <w:tblStyleRowBandSize w:val="1"/>
      <w:tblStyleColBandSize w:val="1"/>
    </w:tblPr>
  </w:style>
  <w:style w:type="table" w:customStyle="1" w:styleId="a1">
    <w:basedOn w:val="TableNormal"/>
    <w:pPr>
      <w:pBdr>
        <w:top w:val="nil"/>
        <w:left w:val="nil"/>
        <w:bottom w:val="nil"/>
        <w:right w:val="nil"/>
        <w:between w:val="nil"/>
      </w:pBdr>
    </w:pPr>
    <w:rPr>
      <w:color w:val="000000"/>
    </w:rPr>
    <w:tblPr>
      <w:tblStyleRowBandSize w:val="1"/>
      <w:tblStyleColBandSize w:val="1"/>
    </w:tblPr>
  </w:style>
  <w:style w:type="table" w:customStyle="1" w:styleId="a2">
    <w:basedOn w:val="TableNormal"/>
    <w:pPr>
      <w:pBdr>
        <w:top w:val="nil"/>
        <w:left w:val="nil"/>
        <w:bottom w:val="nil"/>
        <w:right w:val="nil"/>
        <w:between w:val="nil"/>
      </w:pBdr>
    </w:pPr>
    <w:rPr>
      <w:color w:val="000000"/>
    </w:rPr>
    <w:tblPr>
      <w:tblStyleRowBandSize w:val="1"/>
      <w:tblStyleColBandSize w:val="1"/>
    </w:tblPr>
  </w:style>
  <w:style w:type="table" w:customStyle="1" w:styleId="a3">
    <w:basedOn w:val="TableNormal"/>
    <w:pPr>
      <w:pBdr>
        <w:top w:val="nil"/>
        <w:left w:val="nil"/>
        <w:bottom w:val="nil"/>
        <w:right w:val="nil"/>
        <w:between w:val="nil"/>
      </w:pBdr>
    </w:pPr>
    <w:rPr>
      <w:color w:val="000000"/>
    </w:rPr>
    <w:tblPr>
      <w:tblStyleRowBandSize w:val="1"/>
      <w:tblStyleColBandSize w:val="1"/>
    </w:tblPr>
  </w:style>
  <w:style w:type="table" w:customStyle="1" w:styleId="a4">
    <w:basedOn w:val="TableNormal"/>
    <w:pPr>
      <w:pBdr>
        <w:top w:val="nil"/>
        <w:left w:val="nil"/>
        <w:bottom w:val="nil"/>
        <w:right w:val="nil"/>
        <w:between w:val="nil"/>
      </w:pBdr>
    </w:pPr>
    <w:rPr>
      <w:color w:val="000000"/>
    </w:r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pPr>
    <w:rPr>
      <w:color w:val="000000"/>
    </w:rPr>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c">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so.org.uk/get-involved/panelofevaluators/" TargetMode="External"/><Relationship Id="rId13" Type="http://schemas.openxmlformats.org/officeDocument/2006/relationships/hyperlink" Target="https://taso.org.uk/event/exploring-tasos-new-invitations-to-tender-in-higher-educ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so.org.uk/evidence/evaluation-guidance-resources/t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so.org.uk/get-involved/panelofevaluators/" TargetMode="External"/><Relationship Id="rId5" Type="http://schemas.openxmlformats.org/officeDocument/2006/relationships/webSettings" Target="webSettings.xml"/><Relationship Id="rId15" Type="http://schemas.openxmlformats.org/officeDocument/2006/relationships/hyperlink" Target="https://taso.org.uk/taso-privacy-notice/" TargetMode="External"/><Relationship Id="rId10" Type="http://schemas.openxmlformats.org/officeDocument/2006/relationships/hyperlink" Target="https://s33320.pcdn.co/wp-content/uploads/Approaches-to-addressing-the-ethnicity-degree-awarding-gap.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uidance/what-works-network" TargetMode="External"/><Relationship Id="rId14" Type="http://schemas.openxmlformats.org/officeDocument/2006/relationships/hyperlink" Target="https://taso.org.uk/taso-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kBcG1ipkUY7bzOpsRfgdM+twXQ==">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1827</Words>
  <Characters>10419</Characters>
  <Application>Microsoft Office Word</Application>
  <DocSecurity>0</DocSecurity>
  <Lines>86</Lines>
  <Paragraphs>24</Paragraphs>
  <ScaleCrop>false</ScaleCrop>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Chappell, Sarah</dc:creator>
  <cp:lastModifiedBy>Chloe Goldman</cp:lastModifiedBy>
  <cp:revision>3</cp:revision>
  <dcterms:created xsi:type="dcterms:W3CDTF">2023-06-11T11:36:00Z</dcterms:created>
  <dcterms:modified xsi:type="dcterms:W3CDTF">2023-06-12T10:05:00Z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ies>
</file>