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4"/>
          <w:szCs w:val="14"/>
        </w:rPr>
      </w:pPr>
      <w:r w:rsidDel="00000000" w:rsidR="00000000" w:rsidRPr="00000000">
        <w:rPr>
          <w:rtl w:val="0"/>
        </w:rPr>
      </w:r>
    </w:p>
    <w:p w:rsidR="00000000" w:rsidDel="00000000" w:rsidP="00000000" w:rsidRDefault="00000000" w:rsidRPr="00000000" w14:paraId="00000002">
      <w:pPr>
        <w:rPr>
          <w:b w:val="1"/>
          <w:color w:val="3b66bc"/>
          <w:sz w:val="40"/>
          <w:szCs w:val="40"/>
        </w:rPr>
      </w:pPr>
      <w:bookmarkStart w:colFirst="0" w:colLast="0" w:name="_heading=h.gjdgxs" w:id="0"/>
      <w:bookmarkEnd w:id="0"/>
      <w:r w:rsidDel="00000000" w:rsidR="00000000" w:rsidRPr="00000000">
        <w:rPr>
          <w:b w:val="1"/>
          <w:color w:val="3b66bc"/>
          <w:sz w:val="40"/>
          <w:szCs w:val="40"/>
          <w:rtl w:val="0"/>
        </w:rPr>
        <w:t xml:space="preserve">Supporting disabled students</w:t>
      </w:r>
      <w:r w:rsidDel="00000000" w:rsidR="00000000" w:rsidRPr="00000000">
        <w:rPr>
          <w:b w:val="1"/>
          <w:color w:val="3b66bc"/>
          <w:sz w:val="40"/>
          <w:szCs w:val="40"/>
          <w:rtl w:val="0"/>
        </w:rPr>
        <w:t xml:space="preserve">: Developing evidence-based transitions support and improving data use</w:t>
      </w:r>
    </w:p>
    <w:p w:rsidR="00000000" w:rsidDel="00000000" w:rsidP="00000000" w:rsidRDefault="00000000" w:rsidRPr="00000000" w14:paraId="00000003">
      <w:pPr>
        <w:rPr>
          <w:color w:val="000000"/>
          <w:sz w:val="24"/>
          <w:szCs w:val="24"/>
        </w:rPr>
      </w:pPr>
      <w:r w:rsidDel="00000000" w:rsidR="00000000" w:rsidRPr="00000000">
        <w:rPr>
          <w:sz w:val="24"/>
          <w:szCs w:val="24"/>
          <w:rtl w:val="0"/>
        </w:rPr>
        <w:t xml:space="preserve">June 2023</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spacing w:before="120" w:lineRule="auto"/>
        <w:rPr>
          <w:color w:val="3b66bc"/>
          <w:sz w:val="22"/>
          <w:szCs w:val="22"/>
        </w:rPr>
      </w:pPr>
      <w:bookmarkStart w:colFirst="0" w:colLast="0" w:name="_heading=h.v9paiuqvpvom" w:id="1"/>
      <w:bookmarkEnd w:id="1"/>
      <w:r w:rsidDel="00000000" w:rsidR="00000000" w:rsidRPr="00000000">
        <w:rPr>
          <w:color w:val="3b66bc"/>
          <w:sz w:val="22"/>
          <w:szCs w:val="22"/>
          <w:rtl w:val="0"/>
        </w:rPr>
        <w:t xml:space="preserve">Open call for higher education (HE) providers</w:t>
      </w:r>
    </w:p>
    <w:p w:rsidR="00000000" w:rsidDel="00000000" w:rsidP="00000000" w:rsidRDefault="00000000" w:rsidRPr="00000000" w14:paraId="00000006">
      <w:pPr>
        <w:rPr/>
      </w:pPr>
      <w:r w:rsidDel="00000000" w:rsidR="00000000" w:rsidRPr="00000000">
        <w:rPr>
          <w:rtl w:val="0"/>
        </w:rPr>
        <w:t xml:space="preserve">The Centre for Transforming Access and Student Outcomes in Higher Education (TASO) is </w:t>
      </w:r>
    </w:p>
    <w:p w:rsidR="00000000" w:rsidDel="00000000" w:rsidP="00000000" w:rsidRDefault="00000000" w:rsidRPr="00000000" w14:paraId="00000007">
      <w:pPr>
        <w:rPr/>
      </w:pPr>
      <w:r w:rsidDel="00000000" w:rsidR="00000000" w:rsidRPr="00000000">
        <w:rPr>
          <w:rtl w:val="0"/>
        </w:rPr>
        <w:t xml:space="preserve">calling for higher education providers (HEPs) to collaborate to:</w:t>
      </w:r>
    </w:p>
    <w:p w:rsidR="00000000" w:rsidDel="00000000" w:rsidP="00000000" w:rsidRDefault="00000000" w:rsidRPr="00000000" w14:paraId="00000008">
      <w:pPr>
        <w:numPr>
          <w:ilvl w:val="0"/>
          <w:numId w:val="7"/>
        </w:numPr>
        <w:ind w:left="720" w:hanging="360"/>
        <w:rPr>
          <w:u w:val="none"/>
        </w:rPr>
      </w:pPr>
      <w:r w:rsidDel="00000000" w:rsidR="00000000" w:rsidRPr="00000000">
        <w:rPr>
          <w:rtl w:val="0"/>
        </w:rPr>
        <w:t xml:space="preserve">Design an evidence-based intervention to improve the transition of disabled students into higher education (HE). </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Map the particular barriers and opportunities relating to use of disability data in HE in relation to evaluation.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3b66bc"/>
        </w:rPr>
      </w:pPr>
      <w:r w:rsidDel="00000000" w:rsidR="00000000" w:rsidRPr="00000000">
        <w:rPr>
          <w:b w:val="1"/>
          <w:color w:val="3b66bc"/>
          <w:rtl w:val="0"/>
        </w:rPr>
        <w:t xml:space="preserve">Introduction </w:t>
      </w:r>
    </w:p>
    <w:p w:rsidR="00000000" w:rsidDel="00000000" w:rsidP="00000000" w:rsidRDefault="00000000" w:rsidRPr="00000000" w14:paraId="0000000C">
      <w:pPr>
        <w:rPr>
          <w:color w:val="0e101a"/>
        </w:rPr>
      </w:pPr>
      <w:r w:rsidDel="00000000" w:rsidR="00000000" w:rsidRPr="00000000">
        <w:rPr>
          <w:color w:val="0e101a"/>
          <w:rtl w:val="0"/>
        </w:rPr>
        <w:t xml:space="preserve">TASO aims to improve lives through evidence-based practice in HE. Our vision is to eliminate equality gaps for disadvantaged and underrepresented groups, allowing all students to have the same chance to enter HE, get a good degree and progress into further study or employment.</w:t>
      </w:r>
    </w:p>
    <w:p w:rsidR="00000000" w:rsidDel="00000000" w:rsidP="00000000" w:rsidRDefault="00000000" w:rsidRPr="00000000" w14:paraId="0000000D">
      <w:pPr>
        <w:spacing w:after="240" w:before="240" w:lineRule="auto"/>
        <w:rPr>
          <w:color w:val="0e101a"/>
        </w:rPr>
      </w:pPr>
      <w:r w:rsidDel="00000000" w:rsidR="00000000" w:rsidRPr="00000000">
        <w:rPr>
          <w:color w:val="0e101a"/>
          <w:rtl w:val="0"/>
        </w:rPr>
        <w:t xml:space="preserve">TASO is an affiliate ‘What Works’ centre and is part of the</w:t>
      </w:r>
      <w:hyperlink r:id="rId7">
        <w:r w:rsidDel="00000000" w:rsidR="00000000" w:rsidRPr="00000000">
          <w:rPr>
            <w:color w:val="0e101a"/>
            <w:rtl w:val="0"/>
          </w:rPr>
          <w:t xml:space="preserve"> </w:t>
        </w:r>
      </w:hyperlink>
      <w:hyperlink r:id="rId8">
        <w:r w:rsidDel="00000000" w:rsidR="00000000" w:rsidRPr="00000000">
          <w:rPr>
            <w:color w:val="0563c1"/>
            <w:u w:val="single"/>
            <w:rtl w:val="0"/>
          </w:rPr>
          <w:t xml:space="preserve">UK Government’s What Works Movement.</w:t>
        </w:r>
      </w:hyperlink>
      <w:r w:rsidDel="00000000" w:rsidR="00000000" w:rsidRPr="00000000">
        <w:rPr>
          <w:color w:val="0e101a"/>
          <w:rtl w:val="0"/>
        </w:rPr>
        <w:t xml:space="preserve"> This means that TASO is committed to the generation, synthesis and dissemination of high-quality evidence about effective practice in widening participation and student success. Our role is to help the sector produce more</w:t>
      </w:r>
      <w:hyperlink r:id="rId9">
        <w:r w:rsidDel="00000000" w:rsidR="00000000" w:rsidRPr="00000000">
          <w:rPr>
            <w:color w:val="0e101a"/>
            <w:rtl w:val="0"/>
          </w:rPr>
          <w:t xml:space="preserve"> </w:t>
        </w:r>
      </w:hyperlink>
      <w:hyperlink r:id="rId10">
        <w:r w:rsidDel="00000000" w:rsidR="00000000" w:rsidRPr="00000000">
          <w:rPr>
            <w:color w:val="0563c1"/>
            <w:u w:val="single"/>
            <w:rtl w:val="0"/>
          </w:rPr>
          <w:t xml:space="preserve">Type 3 evidence</w:t>
        </w:r>
      </w:hyperlink>
      <w:r w:rsidDel="00000000" w:rsidR="00000000" w:rsidRPr="00000000">
        <w:rPr>
          <w:color w:val="0e101a"/>
          <w:rtl w:val="0"/>
        </w:rPr>
        <w:t xml:space="preserve"> as this provides us with the best possible understanding of which activities and approaches are most effective.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b66bc"/>
        </w:rPr>
      </w:pPr>
      <w:r w:rsidDel="00000000" w:rsidR="00000000" w:rsidRPr="00000000">
        <w:rPr>
          <w:b w:val="1"/>
          <w:color w:val="3b66bc"/>
          <w:rtl w:val="0"/>
        </w:rPr>
        <w:t xml:space="preserve">Background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Earli</w:t>
      </w:r>
      <w:r w:rsidDel="00000000" w:rsidR="00000000" w:rsidRPr="00000000">
        <w:rPr>
          <w:rtl w:val="0"/>
        </w:rPr>
        <w:t xml:space="preserve">er this year TASO published a </w:t>
      </w:r>
      <w:hyperlink r:id="rId11">
        <w:r w:rsidDel="00000000" w:rsidR="00000000" w:rsidRPr="00000000">
          <w:rPr>
            <w:color w:val="1155cc"/>
            <w:u w:val="single"/>
            <w:rtl w:val="0"/>
          </w:rPr>
          <w:t xml:space="preserve">report on ‘What works to reduce equality</w:t>
        </w:r>
      </w:hyperlink>
      <w:hyperlink r:id="rId12">
        <w:r w:rsidDel="00000000" w:rsidR="00000000" w:rsidRPr="00000000">
          <w:rPr>
            <w:rtl w:val="0"/>
          </w:rPr>
          <w:t xml:space="preserve"> </w:t>
        </w:r>
      </w:hyperlink>
      <w:hyperlink r:id="rId13">
        <w:r w:rsidDel="00000000" w:rsidR="00000000" w:rsidRPr="00000000">
          <w:rPr>
            <w:color w:val="1155cc"/>
            <w:u w:val="single"/>
            <w:rtl w:val="0"/>
          </w:rPr>
          <w:t xml:space="preserve">gaps for disabled students’</w:t>
        </w:r>
      </w:hyperlink>
      <w:r w:rsidDel="00000000" w:rsidR="00000000" w:rsidRPr="00000000">
        <w:rPr>
          <w:rtl w:val="0"/>
        </w:rPr>
        <w:t xml:space="preserve">. This report summarises the evidence on the effectiveness of interventions to address inequalities in HE among disabled students in the UK. It also indicates some priorities for future research and evaluation, to ensure that disabled students are more fully included in HE.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existing evidence suggests that transitions support can be effective for enabling disability inclusion. This evidence, particularly Type 3 research, was often based on experiences in the US, where there is a legal or statutory requirement for HEPs to focus on delivering support during transition into HE. In the UK context, there is some evidence on the importance of transitions, and the Disabled Student Commitment has suggested ways of improving information, access and guidance in accessing HE, focusing on HEPs but also UCAS, the OfS and funders of HE access and participation programmes. As transitions support is improved and expanded, it will be more feasible and important to evaluate what is working best to deliver on disabled student inclusion.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color w:val="0e101a"/>
          <w:rtl w:val="0"/>
        </w:rPr>
        <w:t xml:space="preserve">In-line with the Disabled Students Commission, our recent report also made a number of recommendations on how the use of disability data in HE requires improvement. Better collection and use of data for tracking how disabled students engage and succeed in HE is a vital prerequisite for better evaluation of how to support this group.</w:t>
      </w:r>
      <w:r w:rsidDel="00000000" w:rsidR="00000000" w:rsidRPr="00000000">
        <w:rPr>
          <w:rtl w:val="0"/>
        </w:rPr>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b w:val="1"/>
          <w:color w:val="3b66bc"/>
        </w:rPr>
      </w:pPr>
      <w:r w:rsidDel="00000000" w:rsidR="00000000" w:rsidRPr="00000000">
        <w:rPr>
          <w:b w:val="1"/>
          <w:color w:val="3b66bc"/>
          <w:rtl w:val="0"/>
        </w:rPr>
        <w:t xml:space="preserve">Scope</w:t>
      </w:r>
    </w:p>
    <w:p w:rsidR="00000000" w:rsidDel="00000000" w:rsidP="00000000" w:rsidRDefault="00000000" w:rsidRPr="00000000" w14:paraId="00000016">
      <w:pPr>
        <w:rPr/>
      </w:pPr>
      <w:r w:rsidDel="00000000" w:rsidR="00000000" w:rsidRPr="00000000">
        <w:rPr>
          <w:rtl w:val="0"/>
        </w:rPr>
        <w:t xml:space="preserve">This new project seeks to encourage collaboration between HEPs to work on two key topics:</w:t>
      </w:r>
    </w:p>
    <w:p w:rsidR="00000000" w:rsidDel="00000000" w:rsidP="00000000" w:rsidRDefault="00000000" w:rsidRPr="00000000" w14:paraId="00000017">
      <w:pPr>
        <w:numPr>
          <w:ilvl w:val="0"/>
          <w:numId w:val="9"/>
        </w:numPr>
        <w:ind w:left="720" w:hanging="360"/>
        <w:rPr>
          <w:u w:val="none"/>
        </w:rPr>
      </w:pPr>
      <w:r w:rsidDel="00000000" w:rsidR="00000000" w:rsidRPr="00000000">
        <w:rPr>
          <w:b w:val="1"/>
          <w:rtl w:val="0"/>
        </w:rPr>
        <w:t xml:space="preserve">Transitions support:</w:t>
      </w:r>
      <w:r w:rsidDel="00000000" w:rsidR="00000000" w:rsidRPr="00000000">
        <w:rPr>
          <w:rtl w:val="0"/>
        </w:rPr>
        <w:t xml:space="preserve"> </w:t>
      </w:r>
      <w:r w:rsidDel="00000000" w:rsidR="00000000" w:rsidRPr="00000000">
        <w:rPr>
          <w:rtl w:val="0"/>
        </w:rPr>
        <w:t xml:space="preserve">HEPs</w:t>
      </w:r>
      <w:r w:rsidDel="00000000" w:rsidR="00000000" w:rsidRPr="00000000">
        <w:rPr>
          <w:rtl w:val="0"/>
        </w:rPr>
        <w:t xml:space="preserve"> will develop a blueprint for a model of evidence-based transitions support which offers potential for adaptation, implementation and evaluation across the HE sector to provide more consistent support for disabled students. </w:t>
      </w:r>
      <w:r w:rsidDel="00000000" w:rsidR="00000000" w:rsidRPr="00000000">
        <w:rPr>
          <w:rtl w:val="0"/>
        </w:rPr>
        <w:t xml:space="preserve">Note, we encourage applications from a range of HEPs including post-92 providers, high and low-tariff providers, small and specialist providers. </w:t>
      </w:r>
      <w:r w:rsidDel="00000000" w:rsidR="00000000" w:rsidRPr="00000000">
        <w:rPr>
          <w:rtl w:val="0"/>
        </w:rPr>
      </w:r>
    </w:p>
    <w:p w:rsidR="00000000" w:rsidDel="00000000" w:rsidP="00000000" w:rsidRDefault="00000000" w:rsidRPr="00000000" w14:paraId="00000018">
      <w:pPr>
        <w:numPr>
          <w:ilvl w:val="0"/>
          <w:numId w:val="9"/>
        </w:numPr>
        <w:ind w:left="720" w:hanging="360"/>
      </w:pPr>
      <w:r w:rsidDel="00000000" w:rsidR="00000000" w:rsidRPr="00000000">
        <w:rPr>
          <w:b w:val="1"/>
          <w:rtl w:val="0"/>
        </w:rPr>
        <w:t xml:space="preserve">Use of data: </w:t>
      </w:r>
      <w:r w:rsidDel="00000000" w:rsidR="00000000" w:rsidRPr="00000000">
        <w:rPr>
          <w:rtl w:val="0"/>
        </w:rPr>
        <w:t xml:space="preserve">HEPs will map the particular barriers and opportunities relating to use of disability data in HE in evaluation.</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b w:val="1"/>
          <w:i w:val="1"/>
        </w:rPr>
      </w:pPr>
      <w:r w:rsidDel="00000000" w:rsidR="00000000" w:rsidRPr="00000000">
        <w:rPr>
          <w:b w:val="1"/>
          <w:i w:val="1"/>
          <w:rtl w:val="0"/>
        </w:rPr>
        <w:t xml:space="preserve">Transitions support</w:t>
      </w:r>
    </w:p>
    <w:p w:rsidR="00000000" w:rsidDel="00000000" w:rsidP="00000000" w:rsidRDefault="00000000" w:rsidRPr="00000000" w14:paraId="0000001B">
      <w:pPr>
        <w:rPr>
          <w:color w:val="0e101a"/>
        </w:rPr>
      </w:pPr>
      <w:r w:rsidDel="00000000" w:rsidR="00000000" w:rsidRPr="00000000">
        <w:rPr>
          <w:rtl w:val="0"/>
        </w:rPr>
        <w:t xml:space="preserve">TASO will appoint an independent evaluator from the </w:t>
      </w:r>
      <w:hyperlink r:id="rId14">
        <w:r w:rsidDel="00000000" w:rsidR="00000000" w:rsidRPr="00000000">
          <w:rPr>
            <w:color w:val="1155cc"/>
            <w:u w:val="single"/>
            <w:rtl w:val="0"/>
          </w:rPr>
          <w:t xml:space="preserve">Panel of Evaluators</w:t>
        </w:r>
      </w:hyperlink>
      <w:r w:rsidDel="00000000" w:rsidR="00000000" w:rsidRPr="00000000">
        <w:rPr>
          <w:rtl w:val="0"/>
        </w:rPr>
        <w:t xml:space="preserve"> to work with HEPs to:</w:t>
      </w:r>
      <w:r w:rsidDel="00000000" w:rsidR="00000000" w:rsidRPr="00000000">
        <w:rPr>
          <w:rtl w:val="0"/>
        </w:rPr>
      </w:r>
    </w:p>
    <w:p w:rsidR="00000000" w:rsidDel="00000000" w:rsidP="00000000" w:rsidRDefault="00000000" w:rsidRPr="00000000" w14:paraId="0000001C">
      <w:pPr>
        <w:numPr>
          <w:ilvl w:val="0"/>
          <w:numId w:val="4"/>
        </w:numPr>
        <w:ind w:left="720" w:hanging="360"/>
        <w:rPr>
          <w:u w:val="none"/>
        </w:rPr>
      </w:pPr>
      <w:r w:rsidDel="00000000" w:rsidR="00000000" w:rsidRPr="00000000">
        <w:rPr>
          <w:color w:val="0e101a"/>
          <w:rtl w:val="0"/>
        </w:rPr>
        <w:t xml:space="preserve">Facilitate engagement with the </w:t>
      </w:r>
      <w:r w:rsidDel="00000000" w:rsidR="00000000" w:rsidRPr="00000000">
        <w:rPr>
          <w:color w:val="0e101a"/>
          <w:rtl w:val="0"/>
        </w:rPr>
        <w:t xml:space="preserve">existing evidence on transitions suppor</w:t>
      </w:r>
      <w:r w:rsidDel="00000000" w:rsidR="00000000" w:rsidRPr="00000000">
        <w:rPr>
          <w:color w:val="0e101a"/>
          <w:rtl w:val="0"/>
        </w:rPr>
        <w:t xml:space="preserve">t (including TASO’s recent report), and their own local evidence, to build a Theory of Change for this support using TASO’s </w:t>
      </w:r>
      <w:hyperlink r:id="rId15">
        <w:r w:rsidDel="00000000" w:rsidR="00000000" w:rsidRPr="00000000">
          <w:rPr>
            <w:color w:val="1155cc"/>
            <w:u w:val="single"/>
            <w:rtl w:val="0"/>
          </w:rPr>
          <w:t xml:space="preserve">Enhanced Theory of Change tool</w:t>
        </w:r>
      </w:hyperlink>
      <w:r w:rsidDel="00000000" w:rsidR="00000000" w:rsidRPr="00000000">
        <w:rPr>
          <w:color w:val="0e101a"/>
          <w:rtl w:val="0"/>
        </w:rPr>
        <w:t xml:space="preserve">.</w:t>
      </w:r>
      <w:r w:rsidDel="00000000" w:rsidR="00000000" w:rsidRPr="00000000">
        <w:rPr>
          <w:rtl w:val="0"/>
        </w:rPr>
      </w:r>
    </w:p>
    <w:p w:rsidR="00000000" w:rsidDel="00000000" w:rsidP="00000000" w:rsidRDefault="00000000" w:rsidRPr="00000000" w14:paraId="0000001D">
      <w:pPr>
        <w:numPr>
          <w:ilvl w:val="0"/>
          <w:numId w:val="1"/>
        </w:numPr>
        <w:ind w:left="720" w:hanging="360"/>
        <w:rPr>
          <w:color w:val="0e101a"/>
          <w:u w:val="none"/>
        </w:rPr>
      </w:pPr>
      <w:r w:rsidDel="00000000" w:rsidR="00000000" w:rsidRPr="00000000">
        <w:rPr>
          <w:color w:val="0e101a"/>
          <w:rtl w:val="0"/>
        </w:rPr>
        <w:t xml:space="preserve">Collaboratively develop a model intervention which aids the successful transition of disabled students into HE:</w:t>
      </w:r>
      <w:r w:rsidDel="00000000" w:rsidR="00000000" w:rsidRPr="00000000">
        <w:rPr>
          <w:rtl w:val="0"/>
        </w:rPr>
      </w:r>
    </w:p>
    <w:p w:rsidR="00000000" w:rsidDel="00000000" w:rsidP="00000000" w:rsidRDefault="00000000" w:rsidRPr="00000000" w14:paraId="0000001E">
      <w:pPr>
        <w:numPr>
          <w:ilvl w:val="1"/>
          <w:numId w:val="1"/>
        </w:numPr>
        <w:ind w:left="1440" w:hanging="360"/>
        <w:rPr>
          <w:color w:val="0e101a"/>
          <w:u w:val="none"/>
        </w:rPr>
      </w:pPr>
      <w:r w:rsidDel="00000000" w:rsidR="00000000" w:rsidRPr="00000000">
        <w:rPr>
          <w:color w:val="0e101a"/>
          <w:rtl w:val="0"/>
        </w:rPr>
        <w:t xml:space="preserve">The intervention design will be clearly underpinned by the existing evidence and thoroughly referenced using existing sources.</w:t>
      </w:r>
      <w:r w:rsidDel="00000000" w:rsidR="00000000" w:rsidRPr="00000000">
        <w:rPr>
          <w:rtl w:val="0"/>
        </w:rPr>
      </w:r>
    </w:p>
    <w:p w:rsidR="00000000" w:rsidDel="00000000" w:rsidP="00000000" w:rsidRDefault="00000000" w:rsidRPr="00000000" w14:paraId="0000001F">
      <w:pPr>
        <w:numPr>
          <w:ilvl w:val="1"/>
          <w:numId w:val="1"/>
        </w:numPr>
        <w:ind w:left="1440" w:hanging="360"/>
        <w:rPr>
          <w:color w:val="0e101a"/>
          <w:u w:val="none"/>
        </w:rPr>
      </w:pPr>
      <w:r w:rsidDel="00000000" w:rsidR="00000000" w:rsidRPr="00000000">
        <w:rPr>
          <w:color w:val="0e101a"/>
          <w:rtl w:val="0"/>
        </w:rPr>
        <w:t xml:space="preserve">This intervention is likely to combine multiple approaches/sub-interventions which may be drawn from the existing literature or from</w:t>
      </w:r>
      <w:r w:rsidDel="00000000" w:rsidR="00000000" w:rsidRPr="00000000">
        <w:rPr>
          <w:color w:val="0e101a"/>
          <w:rtl w:val="0"/>
        </w:rPr>
        <w:t xml:space="preserve"> HEPs own practice</w:t>
      </w:r>
      <w:r w:rsidDel="00000000" w:rsidR="00000000" w:rsidRPr="00000000">
        <w:rPr>
          <w:color w:val="0e101a"/>
          <w:rtl w:val="0"/>
        </w:rPr>
        <w:t xml:space="preserve">.</w:t>
      </w:r>
      <w:r w:rsidDel="00000000" w:rsidR="00000000" w:rsidRPr="00000000">
        <w:rPr>
          <w:rtl w:val="0"/>
        </w:rPr>
      </w:r>
    </w:p>
    <w:p w:rsidR="00000000" w:rsidDel="00000000" w:rsidP="00000000" w:rsidRDefault="00000000" w:rsidRPr="00000000" w14:paraId="00000020">
      <w:pPr>
        <w:numPr>
          <w:ilvl w:val="1"/>
          <w:numId w:val="1"/>
        </w:numPr>
        <w:ind w:left="1440" w:hanging="360"/>
        <w:rPr>
          <w:color w:val="0e101a"/>
          <w:u w:val="none"/>
        </w:rPr>
      </w:pPr>
      <w:r w:rsidDel="00000000" w:rsidR="00000000" w:rsidRPr="00000000">
        <w:rPr>
          <w:color w:val="0e101a"/>
          <w:rtl w:val="0"/>
        </w:rPr>
        <w:t xml:space="preserve">This model intervention does not need to reflect what is already</w:t>
      </w:r>
      <w:r w:rsidDel="00000000" w:rsidR="00000000" w:rsidRPr="00000000">
        <w:rPr>
          <w:color w:val="0e101a"/>
          <w:rtl w:val="0"/>
        </w:rPr>
        <w:t xml:space="preserve"> taking place</w:t>
      </w:r>
      <w:r w:rsidDel="00000000" w:rsidR="00000000" w:rsidRPr="00000000">
        <w:rPr>
          <w:color w:val="0e101a"/>
          <w:rtl w:val="0"/>
        </w:rPr>
        <w:t xml:space="preserve">, rather it </w:t>
      </w:r>
      <w:r w:rsidDel="00000000" w:rsidR="00000000" w:rsidRPr="00000000">
        <w:rPr>
          <w:color w:val="0e101a"/>
          <w:rtl w:val="0"/>
        </w:rPr>
        <w:t xml:space="preserve">should be a roadmap </w:t>
      </w:r>
      <w:r w:rsidDel="00000000" w:rsidR="00000000" w:rsidRPr="00000000">
        <w:rPr>
          <w:color w:val="0e101a"/>
          <w:rtl w:val="0"/>
        </w:rPr>
        <w:t xml:space="preserve">for what support should be offered in an ideal scenario.</w:t>
      </w:r>
      <w:r w:rsidDel="00000000" w:rsidR="00000000" w:rsidRPr="00000000">
        <w:rPr>
          <w:rtl w:val="0"/>
        </w:rPr>
      </w:r>
    </w:p>
    <w:p w:rsidR="00000000" w:rsidDel="00000000" w:rsidP="00000000" w:rsidRDefault="00000000" w:rsidRPr="00000000" w14:paraId="00000021">
      <w:pPr>
        <w:numPr>
          <w:ilvl w:val="0"/>
          <w:numId w:val="1"/>
        </w:numPr>
        <w:ind w:left="720" w:hanging="360"/>
        <w:rPr>
          <w:color w:val="0e101a"/>
          <w:u w:val="none"/>
        </w:rPr>
      </w:pPr>
      <w:r w:rsidDel="00000000" w:rsidR="00000000" w:rsidRPr="00000000">
        <w:rPr>
          <w:color w:val="0e101a"/>
          <w:rtl w:val="0"/>
        </w:rPr>
        <w:t xml:space="preserve">Based on this Theory of Change, devise a ‘blueprint’ for the intervention which outlines </w:t>
      </w:r>
      <w:r w:rsidDel="00000000" w:rsidR="00000000" w:rsidRPr="00000000">
        <w:rPr>
          <w:color w:val="0e101a"/>
          <w:rtl w:val="0"/>
        </w:rPr>
        <w:t xml:space="preserve">how </w:t>
      </w:r>
      <w:r w:rsidDel="00000000" w:rsidR="00000000" w:rsidRPr="00000000">
        <w:rPr>
          <w:color w:val="0e101a"/>
          <w:rtl w:val="0"/>
        </w:rPr>
        <w:t xml:space="preserve">it could be adopted/adapted at other HEPs and potentially scaled across the HE sector.</w:t>
      </w:r>
      <w:r w:rsidDel="00000000" w:rsidR="00000000" w:rsidRPr="00000000">
        <w:rPr>
          <w:rtl w:val="0"/>
        </w:rPr>
      </w:r>
    </w:p>
    <w:p w:rsidR="00000000" w:rsidDel="00000000" w:rsidP="00000000" w:rsidRDefault="00000000" w:rsidRPr="00000000" w14:paraId="00000022">
      <w:pPr>
        <w:ind w:left="0" w:firstLine="0"/>
        <w:rPr>
          <w:color w:val="0e101a"/>
        </w:rPr>
      </w:pPr>
      <w:r w:rsidDel="00000000" w:rsidR="00000000" w:rsidRPr="00000000">
        <w:rPr>
          <w:rtl w:val="0"/>
        </w:rPr>
      </w:r>
    </w:p>
    <w:p w:rsidR="00000000" w:rsidDel="00000000" w:rsidP="00000000" w:rsidRDefault="00000000" w:rsidRPr="00000000" w14:paraId="00000023">
      <w:pPr>
        <w:ind w:left="0" w:firstLine="0"/>
        <w:rPr>
          <w:color w:val="0e101a"/>
        </w:rPr>
      </w:pPr>
      <w:r w:rsidDel="00000000" w:rsidR="00000000" w:rsidRPr="00000000">
        <w:rPr>
          <w:color w:val="0e101a"/>
          <w:rtl w:val="0"/>
        </w:rPr>
        <w:t xml:space="preserve">The independent evaluator will then engage with other HEPs to test the </w:t>
      </w:r>
      <w:r w:rsidDel="00000000" w:rsidR="00000000" w:rsidRPr="00000000">
        <w:rPr>
          <w:color w:val="0e101a"/>
          <w:rtl w:val="0"/>
        </w:rPr>
        <w:t xml:space="preserve">feasibility of this scaling</w:t>
      </w:r>
      <w:r w:rsidDel="00000000" w:rsidR="00000000" w:rsidRPr="00000000">
        <w:rPr>
          <w:color w:val="0e101a"/>
          <w:rtl w:val="0"/>
        </w:rPr>
        <w:t xml:space="preserve"> and provide recommendations about how any further roll-out/scaling could be implemented and evaluated to develop </w:t>
      </w:r>
      <w:hyperlink r:id="rId16">
        <w:r w:rsidDel="00000000" w:rsidR="00000000" w:rsidRPr="00000000">
          <w:rPr>
            <w:color w:val="1155cc"/>
            <w:u w:val="single"/>
            <w:rtl w:val="0"/>
          </w:rPr>
          <w:t xml:space="preserve">Type 3</w:t>
        </w:r>
      </w:hyperlink>
      <w:r w:rsidDel="00000000" w:rsidR="00000000" w:rsidRPr="00000000">
        <w:rPr>
          <w:color w:val="0e101a"/>
          <w:rtl w:val="0"/>
        </w:rPr>
        <w:t xml:space="preserve"> evidence of impact. </w:t>
      </w:r>
    </w:p>
    <w:p w:rsidR="00000000" w:rsidDel="00000000" w:rsidP="00000000" w:rsidRDefault="00000000" w:rsidRPr="00000000" w14:paraId="00000024">
      <w:pPr>
        <w:ind w:left="0" w:firstLine="0"/>
        <w:rPr>
          <w:b w:val="1"/>
          <w:i w:val="1"/>
          <w:color w:val="0e101a"/>
        </w:rPr>
      </w:pPr>
      <w:r w:rsidDel="00000000" w:rsidR="00000000" w:rsidRPr="00000000">
        <w:rPr>
          <w:rtl w:val="0"/>
        </w:rPr>
      </w:r>
    </w:p>
    <w:p w:rsidR="00000000" w:rsidDel="00000000" w:rsidP="00000000" w:rsidRDefault="00000000" w:rsidRPr="00000000" w14:paraId="00000025">
      <w:pPr>
        <w:ind w:left="0" w:firstLine="0"/>
        <w:rPr>
          <w:b w:val="1"/>
          <w:i w:val="1"/>
          <w:color w:val="0e101a"/>
        </w:rPr>
      </w:pPr>
      <w:r w:rsidDel="00000000" w:rsidR="00000000" w:rsidRPr="00000000">
        <w:rPr>
          <w:b w:val="1"/>
          <w:i w:val="1"/>
          <w:color w:val="0e101a"/>
          <w:rtl w:val="0"/>
        </w:rPr>
        <w:t xml:space="preserve">Use of data</w:t>
      </w:r>
    </w:p>
    <w:p w:rsidR="00000000" w:rsidDel="00000000" w:rsidP="00000000" w:rsidRDefault="00000000" w:rsidRPr="00000000" w14:paraId="00000026">
      <w:pPr>
        <w:ind w:left="0" w:firstLine="0"/>
        <w:rPr>
          <w:color w:val="0e101a"/>
        </w:rPr>
      </w:pPr>
      <w:r w:rsidDel="00000000" w:rsidR="00000000" w:rsidRPr="00000000">
        <w:rPr>
          <w:color w:val="0e101a"/>
          <w:rtl w:val="0"/>
        </w:rPr>
        <w:t xml:space="preserve">HEPs </w:t>
      </w:r>
      <w:r w:rsidDel="00000000" w:rsidR="00000000" w:rsidRPr="00000000">
        <w:rPr>
          <w:color w:val="0e101a"/>
          <w:rtl w:val="0"/>
        </w:rPr>
        <w:t xml:space="preserve">will also feed into another TASO project </w:t>
      </w:r>
      <w:r w:rsidDel="00000000" w:rsidR="00000000" w:rsidRPr="00000000">
        <w:rPr>
          <w:color w:val="0e101a"/>
          <w:rtl w:val="0"/>
        </w:rPr>
        <w:t xml:space="preserve">(</w:t>
      </w:r>
      <w:hyperlink r:id="rId17">
        <w:r w:rsidDel="00000000" w:rsidR="00000000" w:rsidRPr="00000000">
          <w:rPr>
            <w:b w:val="1"/>
            <w:color w:val="1155cc"/>
            <w:u w:val="single"/>
            <w:rtl w:val="0"/>
          </w:rPr>
          <w:t xml:space="preserve">Institutional Data Use: building better </w:t>
        </w:r>
      </w:hyperlink>
      <w:hyperlink r:id="rId18">
        <w:r w:rsidDel="00000000" w:rsidR="00000000" w:rsidRPr="00000000">
          <w:rPr>
            <w:b w:val="1"/>
            <w:color w:val="1155cc"/>
            <w:u w:val="single"/>
            <w:rtl w:val="0"/>
          </w:rPr>
          <w:t xml:space="preserve">evaluation</w:t>
        </w:r>
      </w:hyperlink>
      <w:r w:rsidDel="00000000" w:rsidR="00000000" w:rsidRPr="00000000">
        <w:rPr>
          <w:b w:val="1"/>
          <w:color w:val="0e101a"/>
          <w:rtl w:val="0"/>
        </w:rPr>
        <w:t xml:space="preserve">) </w:t>
      </w:r>
      <w:r w:rsidDel="00000000" w:rsidR="00000000" w:rsidRPr="00000000">
        <w:rPr>
          <w:color w:val="0e101a"/>
          <w:rtl w:val="0"/>
        </w:rPr>
        <w:t xml:space="preserve">to help map the particular barriers and opportunities relating to use of disability data in HE. This will require HEPs to participate in interviews, focus groups and workshops with TASO staff and/or commissioned evaluators to help us understand how data is used in their local institution and how this could be improved.</w:t>
      </w:r>
    </w:p>
    <w:p w:rsidR="00000000" w:rsidDel="00000000" w:rsidP="00000000" w:rsidRDefault="00000000" w:rsidRPr="00000000" w14:paraId="00000027">
      <w:pPr>
        <w:ind w:left="0" w:firstLine="0"/>
        <w:rPr>
          <w:color w:val="0e101a"/>
        </w:rPr>
      </w:pPr>
      <w:r w:rsidDel="00000000" w:rsidR="00000000" w:rsidRPr="00000000">
        <w:rPr>
          <w:rtl w:val="0"/>
        </w:rPr>
      </w:r>
    </w:p>
    <w:p w:rsidR="00000000" w:rsidDel="00000000" w:rsidP="00000000" w:rsidRDefault="00000000" w:rsidRPr="00000000" w14:paraId="00000028">
      <w:pPr>
        <w:ind w:left="0" w:firstLine="0"/>
        <w:rPr>
          <w:color w:val="0e101a"/>
        </w:rPr>
      </w:pPr>
      <w:r w:rsidDel="00000000" w:rsidR="00000000" w:rsidRPr="00000000">
        <w:rPr>
          <w:color w:val="0e101a"/>
          <w:rtl w:val="0"/>
        </w:rPr>
        <w:t xml:space="preserve">Finally, HEPs will b</w:t>
      </w:r>
      <w:r w:rsidDel="00000000" w:rsidR="00000000" w:rsidRPr="00000000">
        <w:rPr>
          <w:color w:val="0e101a"/>
          <w:rtl w:val="0"/>
        </w:rPr>
        <w:t xml:space="preserve">e invited to participate in a sector engagement exercise to understand the use of reasonable adjustments and transition support in HE.</w:t>
      </w:r>
      <w:r w:rsidDel="00000000" w:rsidR="00000000" w:rsidRPr="00000000">
        <w:rPr>
          <w:color w:val="0e101a"/>
          <w:rtl w:val="0"/>
        </w:rPr>
        <w:t xml:space="preserve"> Please see more information in our </w:t>
      </w:r>
      <w:hyperlink r:id="rId19">
        <w:r w:rsidDel="00000000" w:rsidR="00000000" w:rsidRPr="00000000">
          <w:rPr>
            <w:color w:val="1155cc"/>
            <w:u w:val="single"/>
            <w:rtl w:val="0"/>
          </w:rPr>
          <w:t xml:space="preserve">linked invitation to tender</w:t>
        </w:r>
      </w:hyperlink>
      <w:r w:rsidDel="00000000" w:rsidR="00000000" w:rsidRPr="00000000">
        <w:rPr>
          <w:color w:val="0e101a"/>
          <w:rtl w:val="0"/>
        </w:rPr>
        <w:t xml:space="preserv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after="200" w:line="264" w:lineRule="auto"/>
        <w:ind w:right="96"/>
        <w:rPr>
          <w:sz w:val="20"/>
          <w:szCs w:val="20"/>
        </w:rPr>
      </w:pPr>
      <w:r w:rsidDel="00000000" w:rsidR="00000000" w:rsidRPr="00000000">
        <w:rPr>
          <w:b w:val="1"/>
          <w:color w:val="3b66bc"/>
          <w:rtl w:val="0"/>
        </w:rPr>
        <w:t xml:space="preserve">Expectations for participating HEPs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TASO will select up to three proposals from HEPs.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We are simultaneously issuing a call to our independent Panel of Evaluators who will be invited to bid for the provision of evaluation support (funded by TASO).</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Support from independent evaluators will take place over a six-month period from September 2023 to February 2024. Work will include the following:</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Collaborative workshops to review and discuss the existing evidence on transitions support, including sharing evidence from your local context.</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Each HEP will develop their own Theory of Change for the transitions support in their institution, using the TASO </w:t>
      </w:r>
      <w:hyperlink r:id="rId20">
        <w:r w:rsidDel="00000000" w:rsidR="00000000" w:rsidRPr="00000000">
          <w:rPr>
            <w:color w:val="1155cc"/>
            <w:u w:val="single"/>
            <w:rtl w:val="0"/>
          </w:rPr>
          <w:t xml:space="preserve">Enhanced Theory of Change template</w:t>
        </w:r>
      </w:hyperlink>
      <w:r w:rsidDel="00000000" w:rsidR="00000000" w:rsidRPr="00000000">
        <w:rPr>
          <w:rtl w:val="0"/>
        </w:rPr>
        <w:t xml:space="preserve">. This will be shared with, and published by TASO as an example of evaluation practice.</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With facilitation from the evaluator, HEPs will collaborate to design the evidence-based model for transition support and the blueprint for how this could be scaled across the HE sector. This will involve a programme of workshops/meetings.</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Each HEP will contribute to the mapping of activities, outcomes and data collected for post-entry work in our</w:t>
      </w:r>
      <w:r w:rsidDel="00000000" w:rsidR="00000000" w:rsidRPr="00000000">
        <w:rPr>
          <w:rtl w:val="0"/>
        </w:rPr>
        <w:t xml:space="preserve"> </w:t>
      </w:r>
      <w:hyperlink r:id="rId21">
        <w:r w:rsidDel="00000000" w:rsidR="00000000" w:rsidRPr="00000000">
          <w:rPr>
            <w:color w:val="1155cc"/>
            <w:u w:val="single"/>
            <w:rtl w:val="0"/>
          </w:rPr>
          <w:t xml:space="preserve">Institutional Data Use project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Successful HEPs will work directly with TASO and an independent evaluator from the panel.</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Successful HEPs will be expected to commit time and resourcing to the project, including through meetings, workshops and reviewing of outputs. The table below details how project activities and responsibilities will be split across the three organisations involved in the project. </w:t>
      </w:r>
    </w:p>
    <w:p w:rsidR="00000000" w:rsidDel="00000000" w:rsidP="00000000" w:rsidRDefault="00000000" w:rsidRPr="00000000" w14:paraId="00000034">
      <w:pPr>
        <w:spacing w:after="100" w:before="60" w:line="264" w:lineRule="auto"/>
        <w:ind w:right="100"/>
        <w:rPr>
          <w:b w:val="1"/>
          <w:color w:val="0e101a"/>
        </w:rPr>
      </w:pPr>
      <w:r w:rsidDel="00000000" w:rsidR="00000000" w:rsidRPr="00000000">
        <w:rPr>
          <w:rtl w:val="0"/>
        </w:rPr>
      </w:r>
    </w:p>
    <w:p w:rsidR="00000000" w:rsidDel="00000000" w:rsidP="00000000" w:rsidRDefault="00000000" w:rsidRPr="00000000" w14:paraId="00000035">
      <w:pPr>
        <w:spacing w:after="100" w:before="60" w:line="264" w:lineRule="auto"/>
        <w:ind w:right="100"/>
        <w:rPr>
          <w:b w:val="1"/>
          <w:color w:val="0e101a"/>
        </w:rPr>
      </w:pPr>
      <w:r w:rsidDel="00000000" w:rsidR="00000000" w:rsidRPr="00000000">
        <w:rPr>
          <w:i w:val="1"/>
          <w:color w:val="4472c4"/>
          <w:sz w:val="20"/>
          <w:szCs w:val="20"/>
          <w:rtl w:val="0"/>
        </w:rPr>
        <w:t xml:space="preserve">Table 1: Partner responsibilities</w:t>
      </w:r>
      <w:r w:rsidDel="00000000" w:rsidR="00000000" w:rsidRPr="00000000">
        <w:rPr>
          <w:rtl w:val="0"/>
        </w:rPr>
      </w:r>
    </w:p>
    <w:tbl>
      <w:tblPr>
        <w:tblStyle w:val="Table1"/>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810"/>
        <w:gridCol w:w="1695"/>
        <w:gridCol w:w="1815"/>
        <w:gridCol w:w="1695"/>
        <w:tblGridChange w:id="0">
          <w:tblGrid>
            <w:gridCol w:w="3810"/>
            <w:gridCol w:w="1695"/>
            <w:gridCol w:w="1815"/>
            <w:gridCol w:w="1695"/>
          </w:tblGrid>
        </w:tblGridChange>
      </w:tblGrid>
      <w:tr>
        <w:trPr>
          <w:cantSplit w:val="0"/>
          <w:trHeight w:val="545" w:hRule="atLeast"/>
          <w:tblHeader w:val="0"/>
        </w:trPr>
        <w:tc>
          <w:tcPr>
            <w:shd w:fill="4472c4" w:val="clear"/>
            <w:tcMar>
              <w:top w:w="100.0" w:type="dxa"/>
              <w:left w:w="100.0" w:type="dxa"/>
              <w:bottom w:w="100.0" w:type="dxa"/>
              <w:right w:w="100.0" w:type="dxa"/>
            </w:tcMar>
          </w:tcPr>
          <w:p w:rsidR="00000000" w:rsidDel="00000000" w:rsidP="00000000" w:rsidRDefault="00000000" w:rsidRPr="00000000" w14:paraId="00000036">
            <w:pPr>
              <w:rPr>
                <w:color w:val="ffffff"/>
              </w:rPr>
            </w:pPr>
            <w:r w:rsidDel="00000000" w:rsidR="00000000" w:rsidRPr="00000000">
              <w:rPr>
                <w:color w:val="ffffff"/>
                <w:rtl w:val="0"/>
              </w:rPr>
              <w:t xml:space="preserve"> </w:t>
            </w:r>
          </w:p>
        </w:tc>
        <w:tc>
          <w:tcPr>
            <w:shd w:fill="4472c4" w:val="clear"/>
            <w:tcMar>
              <w:top w:w="100.0" w:type="dxa"/>
              <w:left w:w="100.0" w:type="dxa"/>
              <w:bottom w:w="100.0" w:type="dxa"/>
              <w:right w:w="100.0" w:type="dxa"/>
            </w:tcMar>
          </w:tcPr>
          <w:p w:rsidR="00000000" w:rsidDel="00000000" w:rsidP="00000000" w:rsidRDefault="00000000" w:rsidRPr="00000000" w14:paraId="00000037">
            <w:pPr>
              <w:jc w:val="center"/>
              <w:rPr>
                <w:b w:val="1"/>
                <w:color w:val="ffffff"/>
              </w:rPr>
            </w:pPr>
            <w:r w:rsidDel="00000000" w:rsidR="00000000" w:rsidRPr="00000000">
              <w:rPr>
                <w:b w:val="1"/>
                <w:color w:val="ffffff"/>
                <w:rtl w:val="0"/>
              </w:rPr>
              <w:t xml:space="preserve">HEP</w:t>
            </w:r>
          </w:p>
        </w:tc>
        <w:tc>
          <w:tcPr>
            <w:shd w:fill="4472c4" w:val="clear"/>
            <w:tcMar>
              <w:top w:w="100.0" w:type="dxa"/>
              <w:left w:w="100.0" w:type="dxa"/>
              <w:bottom w:w="100.0" w:type="dxa"/>
              <w:right w:w="100.0" w:type="dxa"/>
            </w:tcMar>
          </w:tcPr>
          <w:p w:rsidR="00000000" w:rsidDel="00000000" w:rsidP="00000000" w:rsidRDefault="00000000" w:rsidRPr="00000000" w14:paraId="00000038">
            <w:pPr>
              <w:jc w:val="center"/>
              <w:rPr>
                <w:b w:val="1"/>
                <w:color w:val="ffffff"/>
              </w:rPr>
            </w:pPr>
            <w:r w:rsidDel="00000000" w:rsidR="00000000" w:rsidRPr="00000000">
              <w:rPr>
                <w:b w:val="1"/>
                <w:color w:val="ffffff"/>
                <w:rtl w:val="0"/>
              </w:rPr>
              <w:t xml:space="preserve">Independent evaluator</w:t>
            </w:r>
          </w:p>
        </w:tc>
        <w:tc>
          <w:tcPr>
            <w:shd w:fill="4472c4" w:val="clear"/>
            <w:tcMar>
              <w:top w:w="100.0" w:type="dxa"/>
              <w:left w:w="100.0" w:type="dxa"/>
              <w:bottom w:w="100.0" w:type="dxa"/>
              <w:right w:w="100.0" w:type="dxa"/>
            </w:tcMar>
          </w:tcPr>
          <w:p w:rsidR="00000000" w:rsidDel="00000000" w:rsidP="00000000" w:rsidRDefault="00000000" w:rsidRPr="00000000" w14:paraId="00000039">
            <w:pPr>
              <w:jc w:val="center"/>
              <w:rPr>
                <w:b w:val="1"/>
                <w:color w:val="ffffff"/>
              </w:rPr>
            </w:pPr>
            <w:r w:rsidDel="00000000" w:rsidR="00000000" w:rsidRPr="00000000">
              <w:rPr>
                <w:b w:val="1"/>
                <w:color w:val="ffffff"/>
                <w:rtl w:val="0"/>
              </w:rPr>
              <w:t xml:space="preserve">TASO</w:t>
            </w:r>
          </w:p>
        </w:tc>
      </w:tr>
      <w:tr>
        <w:trPr>
          <w:cantSplit w:val="0"/>
          <w:trHeight w:val="403" w:hRule="atLeast"/>
          <w:tblHeader w:val="0"/>
        </w:trPr>
        <w:tc>
          <w:tcPr>
            <w:tcMar>
              <w:top w:w="100.0" w:type="dxa"/>
              <w:left w:w="100.0" w:type="dxa"/>
              <w:bottom w:w="100.0" w:type="dxa"/>
              <w:right w:w="100.0" w:type="dxa"/>
            </w:tcMar>
          </w:tcPr>
          <w:p w:rsidR="00000000" w:rsidDel="00000000" w:rsidP="00000000" w:rsidRDefault="00000000" w:rsidRPr="00000000" w14:paraId="0000003A">
            <w:pPr>
              <w:rPr>
                <w:color w:val="0e101a"/>
              </w:rPr>
            </w:pPr>
            <w:r w:rsidDel="00000000" w:rsidR="00000000" w:rsidRPr="00000000">
              <w:rPr>
                <w:color w:val="0e101a"/>
                <w:rtl w:val="0"/>
              </w:rPr>
              <w:t xml:space="preserve">Contract management </w:t>
            </w:r>
          </w:p>
        </w:tc>
        <w:tc>
          <w:tcPr>
            <w:tcMar>
              <w:top w:w="100.0" w:type="dxa"/>
              <w:left w:w="100.0" w:type="dxa"/>
              <w:bottom w:w="100.0" w:type="dxa"/>
              <w:right w:w="100.0" w:type="dxa"/>
            </w:tcMar>
          </w:tcPr>
          <w:p w:rsidR="00000000" w:rsidDel="00000000" w:rsidP="00000000" w:rsidRDefault="00000000" w:rsidRPr="00000000" w14:paraId="0000003B">
            <w:pPr>
              <w:jc w:val="center"/>
              <w:rPr>
                <w:color w:val="0e101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C">
            <w:pPr>
              <w:jc w:val="center"/>
              <w:rPr>
                <w:color w:val="0e101a"/>
              </w:rPr>
            </w:pPr>
            <w:r w:rsidDel="00000000" w:rsidR="00000000" w:rsidRPr="00000000">
              <w:rPr>
                <w:color w:val="0e101a"/>
                <w:rtl w:val="0"/>
              </w:rPr>
              <w:t xml:space="preserve"> </w:t>
            </w:r>
          </w:p>
        </w:tc>
        <w:tc>
          <w:tcPr>
            <w:tcMar>
              <w:top w:w="100.0" w:type="dxa"/>
              <w:left w:w="100.0" w:type="dxa"/>
              <w:bottom w:w="100.0" w:type="dxa"/>
              <w:right w:w="100.0" w:type="dxa"/>
            </w:tcMar>
          </w:tcPr>
          <w:p w:rsidR="00000000" w:rsidDel="00000000" w:rsidP="00000000" w:rsidRDefault="00000000" w:rsidRPr="00000000" w14:paraId="0000003D">
            <w:pPr>
              <w:jc w:val="center"/>
              <w:rPr>
                <w:color w:val="0e101a"/>
              </w:rPr>
            </w:pPr>
            <w:r w:rsidDel="00000000" w:rsidR="00000000" w:rsidRPr="00000000">
              <w:rPr>
                <w:color w:val="0e101a"/>
                <w:rtl w:val="0"/>
              </w:rPr>
              <w:t xml:space="preserve">Lead</w:t>
            </w:r>
          </w:p>
        </w:tc>
      </w:tr>
      <w:tr>
        <w:trPr>
          <w:cantSplit w:val="0"/>
          <w:trHeight w:val="359" w:hRule="atLeast"/>
          <w:tblHeader w:val="0"/>
        </w:trPr>
        <w:tc>
          <w:tcPr>
            <w:tcMar>
              <w:top w:w="100.0" w:type="dxa"/>
              <w:left w:w="100.0" w:type="dxa"/>
              <w:bottom w:w="100.0" w:type="dxa"/>
              <w:right w:w="100.0" w:type="dxa"/>
            </w:tcMar>
          </w:tcPr>
          <w:p w:rsidR="00000000" w:rsidDel="00000000" w:rsidP="00000000" w:rsidRDefault="00000000" w:rsidRPr="00000000" w14:paraId="0000003E">
            <w:pPr>
              <w:rPr>
                <w:color w:val="0e101a"/>
              </w:rPr>
            </w:pPr>
            <w:r w:rsidDel="00000000" w:rsidR="00000000" w:rsidRPr="00000000">
              <w:rPr>
                <w:color w:val="0e101a"/>
                <w:rtl w:val="0"/>
              </w:rPr>
              <w:t xml:space="preserve">Project management </w:t>
            </w:r>
          </w:p>
        </w:tc>
        <w:tc>
          <w:tcPr>
            <w:tcMar>
              <w:top w:w="100.0" w:type="dxa"/>
              <w:left w:w="100.0" w:type="dxa"/>
              <w:bottom w:w="100.0" w:type="dxa"/>
              <w:right w:w="100.0" w:type="dxa"/>
            </w:tcMar>
          </w:tcPr>
          <w:p w:rsidR="00000000" w:rsidDel="00000000" w:rsidP="00000000" w:rsidRDefault="00000000" w:rsidRPr="00000000" w14:paraId="0000003F">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40">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41">
            <w:pPr>
              <w:jc w:val="center"/>
              <w:rPr>
                <w:color w:val="0e101a"/>
              </w:rPr>
            </w:pPr>
            <w:r w:rsidDel="00000000" w:rsidR="00000000" w:rsidRPr="00000000">
              <w:rPr>
                <w:color w:val="0e101a"/>
                <w:rtl w:val="0"/>
              </w:rPr>
              <w:t xml:space="preserve">Advise </w:t>
            </w:r>
          </w:p>
        </w:tc>
      </w:tr>
      <w:tr>
        <w:trPr>
          <w:cantSplit w:val="0"/>
          <w:trHeight w:val="353" w:hRule="atLeast"/>
          <w:tblHeader w:val="0"/>
        </w:trPr>
        <w:tc>
          <w:tcPr>
            <w:tcMar>
              <w:top w:w="100.0" w:type="dxa"/>
              <w:left w:w="100.0" w:type="dxa"/>
              <w:bottom w:w="100.0" w:type="dxa"/>
              <w:right w:w="100.0" w:type="dxa"/>
            </w:tcMar>
          </w:tcPr>
          <w:p w:rsidR="00000000" w:rsidDel="00000000" w:rsidP="00000000" w:rsidRDefault="00000000" w:rsidRPr="00000000" w14:paraId="00000042">
            <w:pPr>
              <w:rPr>
                <w:color w:val="0e101a"/>
              </w:rPr>
            </w:pPr>
            <w:r w:rsidDel="00000000" w:rsidR="00000000" w:rsidRPr="00000000">
              <w:rPr>
                <w:color w:val="0e101a"/>
                <w:rtl w:val="0"/>
              </w:rPr>
              <w:t xml:space="preserve">Expert, technical advice </w:t>
            </w:r>
          </w:p>
        </w:tc>
        <w:tc>
          <w:tcPr>
            <w:tcMar>
              <w:top w:w="100.0" w:type="dxa"/>
              <w:left w:w="100.0" w:type="dxa"/>
              <w:bottom w:w="100.0" w:type="dxa"/>
              <w:right w:w="100.0" w:type="dxa"/>
            </w:tcMar>
          </w:tcPr>
          <w:p w:rsidR="00000000" w:rsidDel="00000000" w:rsidP="00000000" w:rsidRDefault="00000000" w:rsidRPr="00000000" w14:paraId="00000043">
            <w:pPr>
              <w:jc w:val="center"/>
              <w:rPr>
                <w:color w:val="0e101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4">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45">
            <w:pPr>
              <w:jc w:val="center"/>
              <w:rPr>
                <w:color w:val="0e101a"/>
              </w:rPr>
            </w:pPr>
            <w:r w:rsidDel="00000000" w:rsidR="00000000" w:rsidRPr="00000000">
              <w:rPr>
                <w:color w:val="0e101a"/>
                <w:rtl w:val="0"/>
              </w:rPr>
              <w:t xml:space="preserve">Support</w:t>
            </w:r>
          </w:p>
        </w:tc>
      </w:tr>
      <w:tr>
        <w:trPr>
          <w:cantSplit w:val="0"/>
          <w:trHeight w:val="353" w:hRule="atLeast"/>
          <w:tblHeader w:val="0"/>
        </w:trPr>
        <w:tc>
          <w:tcPr>
            <w:tcMar>
              <w:top w:w="100.0" w:type="dxa"/>
              <w:left w:w="100.0" w:type="dxa"/>
              <w:bottom w:w="100.0" w:type="dxa"/>
              <w:right w:w="100.0" w:type="dxa"/>
            </w:tcMar>
          </w:tcPr>
          <w:p w:rsidR="00000000" w:rsidDel="00000000" w:rsidP="00000000" w:rsidRDefault="00000000" w:rsidRPr="00000000" w14:paraId="00000046">
            <w:pPr>
              <w:rPr>
                <w:color w:val="0e101a"/>
              </w:rPr>
            </w:pPr>
            <w:r w:rsidDel="00000000" w:rsidR="00000000" w:rsidRPr="00000000">
              <w:rPr>
                <w:color w:val="0e101a"/>
                <w:rtl w:val="0"/>
              </w:rPr>
              <w:t xml:space="preserve">Developing local Theories of Change</w:t>
            </w:r>
          </w:p>
        </w:tc>
        <w:tc>
          <w:tcPr>
            <w:tcMar>
              <w:top w:w="100.0" w:type="dxa"/>
              <w:left w:w="100.0" w:type="dxa"/>
              <w:bottom w:w="100.0" w:type="dxa"/>
              <w:right w:w="100.0" w:type="dxa"/>
            </w:tcMar>
          </w:tcPr>
          <w:p w:rsidR="00000000" w:rsidDel="00000000" w:rsidP="00000000" w:rsidRDefault="00000000" w:rsidRPr="00000000" w14:paraId="00000047">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48">
            <w:pPr>
              <w:jc w:val="center"/>
              <w:rPr>
                <w:color w:val="0e101a"/>
              </w:rPr>
            </w:pPr>
            <w:r w:rsidDel="00000000" w:rsidR="00000000" w:rsidRPr="00000000">
              <w:rPr>
                <w:color w:val="0e101a"/>
                <w:rtl w:val="0"/>
              </w:rPr>
              <w:t xml:space="preserve">Support </w:t>
            </w:r>
          </w:p>
        </w:tc>
        <w:tc>
          <w:tcPr>
            <w:tcMar>
              <w:top w:w="100.0" w:type="dxa"/>
              <w:left w:w="100.0" w:type="dxa"/>
              <w:bottom w:w="100.0" w:type="dxa"/>
              <w:right w:w="100.0" w:type="dxa"/>
            </w:tcMar>
          </w:tcPr>
          <w:p w:rsidR="00000000" w:rsidDel="00000000" w:rsidP="00000000" w:rsidRDefault="00000000" w:rsidRPr="00000000" w14:paraId="00000049">
            <w:pPr>
              <w:jc w:val="center"/>
              <w:rPr>
                <w:color w:val="0e101a"/>
              </w:rPr>
            </w:pPr>
            <w:r w:rsidDel="00000000" w:rsidR="00000000" w:rsidRPr="00000000">
              <w:rPr>
                <w:color w:val="0e101a"/>
                <w:rtl w:val="0"/>
              </w:rPr>
              <w:t xml:space="preserve">Support</w:t>
            </w:r>
          </w:p>
        </w:tc>
      </w:tr>
      <w:tr>
        <w:trPr>
          <w:cantSplit w:val="0"/>
          <w:trHeight w:val="362" w:hRule="atLeast"/>
          <w:tblHeader w:val="0"/>
        </w:trPr>
        <w:tc>
          <w:tcPr>
            <w:tcMar>
              <w:top w:w="100.0" w:type="dxa"/>
              <w:left w:w="100.0" w:type="dxa"/>
              <w:bottom w:w="100.0" w:type="dxa"/>
              <w:right w:w="100.0" w:type="dxa"/>
            </w:tcMar>
          </w:tcPr>
          <w:p w:rsidR="00000000" w:rsidDel="00000000" w:rsidP="00000000" w:rsidRDefault="00000000" w:rsidRPr="00000000" w14:paraId="0000004A">
            <w:pPr>
              <w:rPr>
                <w:color w:val="0e101a"/>
              </w:rPr>
            </w:pPr>
            <w:r w:rsidDel="00000000" w:rsidR="00000000" w:rsidRPr="00000000">
              <w:rPr>
                <w:color w:val="0e101a"/>
                <w:rtl w:val="0"/>
              </w:rPr>
              <w:t xml:space="preserve">Workshops, interviews and other sessions to develop the intervention blueprint and map data use </w:t>
            </w:r>
          </w:p>
        </w:tc>
        <w:tc>
          <w:tcPr>
            <w:tcMar>
              <w:top w:w="100.0" w:type="dxa"/>
              <w:left w:w="100.0" w:type="dxa"/>
              <w:bottom w:w="100.0" w:type="dxa"/>
              <w:right w:w="100.0" w:type="dxa"/>
            </w:tcMar>
          </w:tcPr>
          <w:p w:rsidR="00000000" w:rsidDel="00000000" w:rsidP="00000000" w:rsidRDefault="00000000" w:rsidRPr="00000000" w14:paraId="0000004B">
            <w:pPr>
              <w:jc w:val="center"/>
              <w:rPr>
                <w:color w:val="0e101a"/>
              </w:rPr>
            </w:pPr>
            <w:r w:rsidDel="00000000" w:rsidR="00000000" w:rsidRPr="00000000">
              <w:rPr>
                <w:color w:val="0e101a"/>
                <w:rtl w:val="0"/>
              </w:rPr>
              <w:t xml:space="preserve">Participate</w:t>
            </w:r>
          </w:p>
        </w:tc>
        <w:tc>
          <w:tcPr>
            <w:tcMar>
              <w:top w:w="100.0" w:type="dxa"/>
              <w:left w:w="100.0" w:type="dxa"/>
              <w:bottom w:w="100.0" w:type="dxa"/>
              <w:right w:w="100.0" w:type="dxa"/>
            </w:tcMar>
          </w:tcPr>
          <w:p w:rsidR="00000000" w:rsidDel="00000000" w:rsidP="00000000" w:rsidRDefault="00000000" w:rsidRPr="00000000" w14:paraId="0000004C">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4D">
            <w:pPr>
              <w:jc w:val="center"/>
              <w:rPr>
                <w:color w:val="0e101a"/>
              </w:rPr>
            </w:pPr>
            <w:r w:rsidDel="00000000" w:rsidR="00000000" w:rsidRPr="00000000">
              <w:rPr>
                <w:color w:val="0e101a"/>
                <w:rtl w:val="0"/>
              </w:rPr>
              <w:t xml:space="preserve">Support</w:t>
            </w:r>
          </w:p>
        </w:tc>
      </w:tr>
      <w:tr>
        <w:trPr>
          <w:cantSplit w:val="0"/>
          <w:trHeight w:val="362" w:hRule="atLeast"/>
          <w:tblHeader w:val="0"/>
        </w:trPr>
        <w:tc>
          <w:tcPr>
            <w:tcMar>
              <w:top w:w="100.0" w:type="dxa"/>
              <w:left w:w="100.0" w:type="dxa"/>
              <w:bottom w:w="100.0" w:type="dxa"/>
              <w:right w:w="100.0" w:type="dxa"/>
            </w:tcMar>
          </w:tcPr>
          <w:p w:rsidR="00000000" w:rsidDel="00000000" w:rsidP="00000000" w:rsidRDefault="00000000" w:rsidRPr="00000000" w14:paraId="0000004E">
            <w:pPr>
              <w:rPr>
                <w:color w:val="0e101a"/>
              </w:rPr>
            </w:pPr>
            <w:r w:rsidDel="00000000" w:rsidR="00000000" w:rsidRPr="00000000">
              <w:rPr>
                <w:color w:val="0e101a"/>
                <w:rtl w:val="0"/>
              </w:rPr>
              <w:t xml:space="preserve">Intervention blueprint development</w:t>
            </w:r>
          </w:p>
        </w:tc>
        <w:tc>
          <w:tcPr>
            <w:tcMar>
              <w:top w:w="100.0" w:type="dxa"/>
              <w:left w:w="100.0" w:type="dxa"/>
              <w:bottom w:w="100.0" w:type="dxa"/>
              <w:right w:w="100.0" w:type="dxa"/>
            </w:tcMar>
          </w:tcPr>
          <w:p w:rsidR="00000000" w:rsidDel="00000000" w:rsidP="00000000" w:rsidRDefault="00000000" w:rsidRPr="00000000" w14:paraId="0000004F">
            <w:pPr>
              <w:jc w:val="center"/>
              <w:rPr>
                <w:color w:val="0e101a"/>
              </w:rPr>
            </w:pPr>
            <w:r w:rsidDel="00000000" w:rsidR="00000000" w:rsidRPr="00000000">
              <w:rPr>
                <w:color w:val="0e101a"/>
                <w:rtl w:val="0"/>
              </w:rPr>
              <w:t xml:space="preserve">Participate</w:t>
            </w:r>
          </w:p>
        </w:tc>
        <w:tc>
          <w:tcPr>
            <w:tcMar>
              <w:top w:w="100.0" w:type="dxa"/>
              <w:left w:w="100.0" w:type="dxa"/>
              <w:bottom w:w="100.0" w:type="dxa"/>
              <w:right w:w="100.0" w:type="dxa"/>
            </w:tcMar>
          </w:tcPr>
          <w:p w:rsidR="00000000" w:rsidDel="00000000" w:rsidP="00000000" w:rsidRDefault="00000000" w:rsidRPr="00000000" w14:paraId="00000050">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51">
            <w:pPr>
              <w:jc w:val="center"/>
              <w:rPr>
                <w:color w:val="0e101a"/>
              </w:rPr>
            </w:pPr>
            <w:r w:rsidDel="00000000" w:rsidR="00000000" w:rsidRPr="00000000">
              <w:rPr>
                <w:color w:val="0e101a"/>
                <w:rtl w:val="0"/>
              </w:rPr>
              <w:t xml:space="preserve">Support</w:t>
            </w:r>
          </w:p>
        </w:tc>
      </w:tr>
      <w:tr>
        <w:trPr>
          <w:cantSplit w:val="0"/>
          <w:trHeight w:val="356" w:hRule="atLeast"/>
          <w:tblHeader w:val="0"/>
        </w:trPr>
        <w:tc>
          <w:tcPr>
            <w:tcMar>
              <w:top w:w="100.0" w:type="dxa"/>
              <w:left w:w="100.0" w:type="dxa"/>
              <w:bottom w:w="100.0" w:type="dxa"/>
              <w:right w:w="100.0" w:type="dxa"/>
            </w:tcMar>
          </w:tcPr>
          <w:p w:rsidR="00000000" w:rsidDel="00000000" w:rsidP="00000000" w:rsidRDefault="00000000" w:rsidRPr="00000000" w14:paraId="00000052">
            <w:pPr>
              <w:rPr>
                <w:color w:val="0e101a"/>
              </w:rPr>
            </w:pPr>
            <w:r w:rsidDel="00000000" w:rsidR="00000000" w:rsidRPr="00000000">
              <w:rPr>
                <w:color w:val="0e101a"/>
                <w:rtl w:val="0"/>
              </w:rPr>
              <w:t xml:space="preserve">Review and QA outputs</w:t>
            </w:r>
          </w:p>
        </w:tc>
        <w:tc>
          <w:tcPr>
            <w:tcMar>
              <w:top w:w="100.0" w:type="dxa"/>
              <w:left w:w="100.0" w:type="dxa"/>
              <w:bottom w:w="100.0" w:type="dxa"/>
              <w:right w:w="100.0" w:type="dxa"/>
            </w:tcMar>
          </w:tcPr>
          <w:p w:rsidR="00000000" w:rsidDel="00000000" w:rsidP="00000000" w:rsidRDefault="00000000" w:rsidRPr="00000000" w14:paraId="00000053">
            <w:pPr>
              <w:jc w:val="center"/>
              <w:rPr>
                <w:color w:val="0e101a"/>
              </w:rPr>
            </w:pPr>
            <w:r w:rsidDel="00000000" w:rsidR="00000000" w:rsidRPr="00000000">
              <w:rPr>
                <w:color w:val="0e101a"/>
                <w:rtl w:val="0"/>
              </w:rPr>
              <w:t xml:space="preserve">Review</w:t>
            </w:r>
          </w:p>
        </w:tc>
        <w:tc>
          <w:tcPr>
            <w:tcMar>
              <w:top w:w="100.0" w:type="dxa"/>
              <w:left w:w="100.0" w:type="dxa"/>
              <w:bottom w:w="100.0" w:type="dxa"/>
              <w:right w:w="100.0" w:type="dxa"/>
            </w:tcMar>
          </w:tcPr>
          <w:p w:rsidR="00000000" w:rsidDel="00000000" w:rsidP="00000000" w:rsidRDefault="00000000" w:rsidRPr="00000000" w14:paraId="00000054">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55">
            <w:pPr>
              <w:jc w:val="center"/>
              <w:rPr>
                <w:color w:val="0e101a"/>
              </w:rPr>
            </w:pPr>
            <w:r w:rsidDel="00000000" w:rsidR="00000000" w:rsidRPr="00000000">
              <w:rPr>
                <w:color w:val="0e101a"/>
                <w:rtl w:val="0"/>
              </w:rPr>
              <w:t xml:space="preserve"> Review</w:t>
            </w:r>
          </w:p>
        </w:tc>
      </w:tr>
    </w:tbl>
    <w:p w:rsidR="00000000" w:rsidDel="00000000" w:rsidP="00000000" w:rsidRDefault="00000000" w:rsidRPr="00000000" w14:paraId="00000056">
      <w:pPr>
        <w:ind w:left="0" w:firstLine="0"/>
        <w:rPr>
          <w:b w:val="1"/>
        </w:rPr>
      </w:pPr>
      <w:r w:rsidDel="00000000" w:rsidR="00000000" w:rsidRPr="00000000">
        <w:rPr>
          <w:rtl w:val="0"/>
        </w:rPr>
      </w:r>
    </w:p>
    <w:p w:rsidR="00000000" w:rsidDel="00000000" w:rsidP="00000000" w:rsidRDefault="00000000" w:rsidRPr="00000000" w14:paraId="00000057">
      <w:pPr>
        <w:ind w:left="720" w:hanging="720"/>
        <w:rPr>
          <w:b w:val="1"/>
        </w:rPr>
      </w:pPr>
      <w:r w:rsidDel="00000000" w:rsidR="00000000" w:rsidRPr="00000000">
        <w:rPr>
          <w:b w:val="1"/>
          <w:color w:val="3b66bc"/>
          <w:rtl w:val="0"/>
        </w:rPr>
        <w:t xml:space="preserve">Ethics and data protection</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HEP will be responsible for seeking ethics approval and ensuring data protection standards are met.</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b w:val="1"/>
          <w:color w:val="3b66bc"/>
        </w:rPr>
      </w:pPr>
      <w:r w:rsidDel="00000000" w:rsidR="00000000" w:rsidRPr="00000000">
        <w:rPr>
          <w:b w:val="1"/>
          <w:color w:val="3b66bc"/>
          <w:rtl w:val="0"/>
        </w:rPr>
        <w:t xml:space="preserve">Funding </w:t>
      </w:r>
    </w:p>
    <w:p w:rsidR="00000000" w:rsidDel="00000000" w:rsidP="00000000" w:rsidRDefault="00000000" w:rsidRPr="00000000" w14:paraId="0000005B">
      <w:pPr>
        <w:spacing w:line="264" w:lineRule="auto"/>
        <w:ind w:left="0" w:right="96" w:firstLine="0"/>
        <w:rPr>
          <w:color w:val="0e101a"/>
        </w:rPr>
      </w:pPr>
      <w:r w:rsidDel="00000000" w:rsidR="00000000" w:rsidRPr="00000000">
        <w:rPr>
          <w:color w:val="0e101a"/>
          <w:rtl w:val="0"/>
        </w:rPr>
        <w:t xml:space="preserve">TASO will select up to three HEPs to participate in this project.</w:t>
      </w:r>
    </w:p>
    <w:p w:rsidR="00000000" w:rsidDel="00000000" w:rsidP="00000000" w:rsidRDefault="00000000" w:rsidRPr="00000000" w14:paraId="0000005C">
      <w:pPr>
        <w:spacing w:line="264" w:lineRule="auto"/>
        <w:ind w:left="0" w:right="96" w:firstLine="0"/>
        <w:rPr>
          <w:color w:val="0e101a"/>
        </w:rPr>
      </w:pPr>
      <w:r w:rsidDel="00000000" w:rsidR="00000000" w:rsidRPr="00000000">
        <w:rPr>
          <w:rtl w:val="0"/>
        </w:rPr>
      </w:r>
    </w:p>
    <w:p w:rsidR="00000000" w:rsidDel="00000000" w:rsidP="00000000" w:rsidRDefault="00000000" w:rsidRPr="00000000" w14:paraId="0000005D">
      <w:pPr>
        <w:spacing w:line="264" w:lineRule="auto"/>
        <w:ind w:left="0" w:right="96" w:firstLine="0"/>
        <w:rPr>
          <w:b w:val="1"/>
        </w:rPr>
      </w:pPr>
      <w:r w:rsidDel="00000000" w:rsidR="00000000" w:rsidRPr="00000000">
        <w:rPr>
          <w:color w:val="0e101a"/>
          <w:rtl w:val="0"/>
        </w:rPr>
        <w:t xml:space="preserve">Participating HEPs will receive up to</w:t>
      </w:r>
      <w:r w:rsidDel="00000000" w:rsidR="00000000" w:rsidRPr="00000000">
        <w:rPr>
          <w:b w:val="1"/>
          <w:color w:val="0e101a"/>
          <w:rtl w:val="0"/>
        </w:rPr>
        <w:t xml:space="preserve"> </w:t>
      </w:r>
      <w:r w:rsidDel="00000000" w:rsidR="00000000" w:rsidRPr="00000000">
        <w:rPr>
          <w:b w:val="1"/>
          <w:color w:val="0e101a"/>
          <w:rtl w:val="0"/>
        </w:rPr>
        <w:t xml:space="preserve">£20,000</w:t>
      </w:r>
      <w:r w:rsidDel="00000000" w:rsidR="00000000" w:rsidRPr="00000000">
        <w:rPr>
          <w:color w:val="0e101a"/>
          <w:rtl w:val="0"/>
        </w:rPr>
        <w:t xml:space="preserve"> t</w:t>
      </w:r>
      <w:r w:rsidDel="00000000" w:rsidR="00000000" w:rsidRPr="00000000">
        <w:rPr>
          <w:color w:val="0e101a"/>
          <w:rtl w:val="0"/>
        </w:rPr>
        <w:t xml:space="preserve">o support the resourcing of the project and should set out in the application how this will be allocated (e.g. to funding a dedicated research assistant).</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Responses to this invitation to tender should include accurate pricing,</w:t>
      </w:r>
      <w:r w:rsidDel="00000000" w:rsidR="00000000" w:rsidRPr="00000000">
        <w:rPr>
          <w:rtl w:val="0"/>
        </w:rPr>
        <w:t xml:space="preserve"> </w:t>
      </w:r>
      <w:r w:rsidDel="00000000" w:rsidR="00000000" w:rsidRPr="00000000">
        <w:rPr>
          <w:u w:val="single"/>
          <w:rtl w:val="0"/>
        </w:rPr>
        <w:t xml:space="preserve">inclusive</w:t>
      </w:r>
      <w:r w:rsidDel="00000000" w:rsidR="00000000" w:rsidRPr="00000000">
        <w:rPr>
          <w:rtl w:val="0"/>
        </w:rPr>
        <w:t xml:space="preserve"> of expense</w:t>
      </w:r>
      <w:r w:rsidDel="00000000" w:rsidR="00000000" w:rsidRPr="00000000">
        <w:rPr>
          <w:rtl w:val="0"/>
        </w:rPr>
        <w:t xml:space="preserve">s. Please note that assessment of responses to this tender invitation will be on perceived quality of service and demonstrable ability to meet the brief, rather than the lowest cost, however, value for money is a selection criterion. </w:t>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rPr>
          <w:b w:val="1"/>
          <w:color w:val="3b66bc"/>
        </w:rPr>
      </w:pPr>
      <w:r w:rsidDel="00000000" w:rsidR="00000000" w:rsidRPr="00000000">
        <w:rPr>
          <w:b w:val="1"/>
          <w:color w:val="3b66bc"/>
          <w:rtl w:val="0"/>
        </w:rPr>
        <w:t xml:space="preserve">Project timeline</w:t>
      </w:r>
    </w:p>
    <w:p w:rsidR="00000000" w:rsidDel="00000000" w:rsidP="00000000" w:rsidRDefault="00000000" w:rsidRPr="00000000" w14:paraId="00000062">
      <w:pPr>
        <w:numPr>
          <w:ilvl w:val="0"/>
          <w:numId w:val="10"/>
        </w:numPr>
        <w:ind w:left="720" w:hanging="360"/>
        <w:rPr/>
      </w:pPr>
      <w:r w:rsidDel="00000000" w:rsidR="00000000" w:rsidRPr="00000000">
        <w:rPr>
          <w:rtl w:val="0"/>
        </w:rPr>
        <w:t xml:space="preserve">We invite you to submit an application using the form below. </w:t>
      </w:r>
    </w:p>
    <w:p w:rsidR="00000000" w:rsidDel="00000000" w:rsidP="00000000" w:rsidRDefault="00000000" w:rsidRPr="00000000" w14:paraId="00000063">
      <w:pPr>
        <w:numPr>
          <w:ilvl w:val="0"/>
          <w:numId w:val="10"/>
        </w:numPr>
        <w:ind w:left="720" w:hanging="360"/>
        <w:rPr/>
      </w:pPr>
      <w:r w:rsidDel="00000000" w:rsidR="00000000" w:rsidRPr="00000000">
        <w:rPr>
          <w:rtl w:val="0"/>
        </w:rPr>
        <w:t xml:space="preserve">Please save the form using the name of your organisation.</w:t>
      </w:r>
    </w:p>
    <w:p w:rsidR="00000000" w:rsidDel="00000000" w:rsidP="00000000" w:rsidRDefault="00000000" w:rsidRPr="00000000" w14:paraId="00000064">
      <w:pPr>
        <w:numPr>
          <w:ilvl w:val="0"/>
          <w:numId w:val="10"/>
        </w:numPr>
        <w:ind w:left="720" w:hanging="360"/>
        <w:rPr/>
      </w:pPr>
      <w:r w:rsidDel="00000000" w:rsidR="00000000" w:rsidRPr="00000000">
        <w:rPr>
          <w:rtl w:val="0"/>
        </w:rPr>
        <w:t xml:space="preserve">Submit the completed form to research@taso.org.uk by </w:t>
      </w:r>
      <w:r w:rsidDel="00000000" w:rsidR="00000000" w:rsidRPr="00000000">
        <w:rPr>
          <w:b w:val="1"/>
          <w:rtl w:val="0"/>
        </w:rPr>
        <w:t xml:space="preserve">5pm on Friday 4 August.</w:t>
      </w:r>
    </w:p>
    <w:p w:rsidR="00000000" w:rsidDel="00000000" w:rsidP="00000000" w:rsidRDefault="00000000" w:rsidRPr="00000000" w14:paraId="00000065">
      <w:pPr>
        <w:numPr>
          <w:ilvl w:val="0"/>
          <w:numId w:val="10"/>
        </w:numPr>
        <w:ind w:left="720" w:hanging="360"/>
        <w:rPr>
          <w:b w:val="1"/>
        </w:rPr>
      </w:pPr>
      <w:r w:rsidDel="00000000" w:rsidR="00000000" w:rsidRPr="00000000">
        <w:rPr>
          <w:rtl w:val="0"/>
        </w:rPr>
        <w:t xml:space="preserve">You will be informed of the outcome of your submission in the </w:t>
      </w:r>
      <w:r w:rsidDel="00000000" w:rsidR="00000000" w:rsidRPr="00000000">
        <w:rPr>
          <w:b w:val="1"/>
          <w:rtl w:val="0"/>
        </w:rPr>
        <w:t xml:space="preserve">w/c 14 August 2023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numPr>
          <w:ilvl w:val="0"/>
          <w:numId w:val="10"/>
        </w:numPr>
        <w:ind w:left="720" w:hanging="360"/>
        <w:rPr/>
      </w:pPr>
      <w:r w:rsidDel="00000000" w:rsidR="00000000" w:rsidRPr="00000000">
        <w:rPr>
          <w:rtl w:val="0"/>
        </w:rPr>
        <w:t xml:space="preserve">We anticipate the project will start</w:t>
      </w:r>
      <w:r w:rsidDel="00000000" w:rsidR="00000000" w:rsidRPr="00000000">
        <w:rPr>
          <w:b w:val="1"/>
          <w:rtl w:val="0"/>
        </w:rPr>
        <w:t xml:space="preserve"> </w:t>
      </w:r>
      <w:r w:rsidDel="00000000" w:rsidR="00000000" w:rsidRPr="00000000">
        <w:rPr>
          <w:rtl w:val="0"/>
        </w:rPr>
        <w:t xml:space="preserve">in </w:t>
      </w:r>
      <w:r w:rsidDel="00000000" w:rsidR="00000000" w:rsidRPr="00000000">
        <w:rPr>
          <w:b w:val="1"/>
          <w:rtl w:val="0"/>
        </w:rPr>
        <w:t xml:space="preserve">September 2023</w:t>
      </w:r>
      <w:r w:rsidDel="00000000" w:rsidR="00000000" w:rsidRPr="00000000">
        <w:rPr>
          <w:rtl w:val="0"/>
        </w:rPr>
        <w:t xml:space="preserve"> with final reporting in </w:t>
      </w:r>
      <w:r w:rsidDel="00000000" w:rsidR="00000000" w:rsidRPr="00000000">
        <w:rPr>
          <w:b w:val="1"/>
          <w:rtl w:val="0"/>
        </w:rPr>
        <w:t xml:space="preserve">February 2024</w:t>
      </w: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If you have any questions regarding the open call, please join us on </w:t>
      </w:r>
      <w:r w:rsidDel="00000000" w:rsidR="00000000" w:rsidRPr="00000000">
        <w:rPr>
          <w:b w:val="1"/>
          <w:rtl w:val="0"/>
        </w:rPr>
        <w:t xml:space="preserve">5 July 2023</w:t>
      </w:r>
      <w:r w:rsidDel="00000000" w:rsidR="00000000" w:rsidRPr="00000000">
        <w:rPr>
          <w:rtl w:val="0"/>
        </w:rPr>
        <w:t xml:space="preserve"> for an information session (</w:t>
      </w:r>
      <w:hyperlink r:id="rId22">
        <w:r w:rsidDel="00000000" w:rsidR="00000000" w:rsidRPr="00000000">
          <w:rPr>
            <w:color w:val="1155cc"/>
            <w:u w:val="single"/>
            <w:rtl w:val="0"/>
          </w:rPr>
          <w:t xml:space="preserve">sign-up here</w:t>
        </w:r>
      </w:hyperlink>
      <w:r w:rsidDel="00000000" w:rsidR="00000000" w:rsidRPr="00000000">
        <w:rPr>
          <w:rtl w:val="0"/>
        </w:rPr>
        <w:t xml:space="preserve">) dedicated to unpacking TASO’s open invitations to tender. </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spacing w:after="100" w:before="60" w:line="264" w:lineRule="auto"/>
        <w:ind w:right="100"/>
        <w:rPr>
          <w:color w:val="0e101a"/>
        </w:rPr>
      </w:pPr>
      <w:r w:rsidDel="00000000" w:rsidR="00000000" w:rsidRPr="00000000">
        <w:rPr>
          <w:color w:val="0e101a"/>
          <w:rtl w:val="0"/>
        </w:rPr>
        <w:t xml:space="preserve">The project timeline is outlined in the table below. </w:t>
      </w:r>
    </w:p>
    <w:p w:rsidR="00000000" w:rsidDel="00000000" w:rsidP="00000000" w:rsidRDefault="00000000" w:rsidRPr="00000000" w14:paraId="0000006B">
      <w:pPr>
        <w:spacing w:after="100" w:before="60" w:line="264" w:lineRule="auto"/>
        <w:ind w:right="100"/>
        <w:rPr>
          <w:b w:val="1"/>
        </w:rPr>
      </w:pPr>
      <w:r w:rsidDel="00000000" w:rsidR="00000000" w:rsidRPr="00000000">
        <w:rPr>
          <w:i w:val="1"/>
          <w:color w:val="4472c4"/>
          <w:sz w:val="20"/>
          <w:szCs w:val="20"/>
          <w:rtl w:val="0"/>
        </w:rPr>
        <w:t xml:space="preserve">Table 2. Project milestones and key dates</w:t>
      </w:r>
      <w:r w:rsidDel="00000000" w:rsidR="00000000" w:rsidRPr="00000000">
        <w:rPr>
          <w:rtl w:val="0"/>
        </w:rPr>
      </w:r>
    </w:p>
    <w:tbl>
      <w:tblPr>
        <w:tblStyle w:val="Table2"/>
        <w:tblW w:w="90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70"/>
        <w:gridCol w:w="3090"/>
        <w:tblGridChange w:id="0">
          <w:tblGrid>
            <w:gridCol w:w="5970"/>
            <w:gridCol w:w="3090"/>
          </w:tblGrid>
        </w:tblGridChange>
      </w:tblGrid>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shd w:fill="4472c4"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color w:val="ffffff"/>
              </w:rPr>
            </w:pPr>
            <w:r w:rsidDel="00000000" w:rsidR="00000000" w:rsidRPr="00000000">
              <w:rPr>
                <w:b w:val="1"/>
                <w:color w:val="ffffff"/>
                <w:rtl w:val="0"/>
              </w:rPr>
              <w:t xml:space="preserve">Milestone</w:t>
            </w:r>
          </w:p>
        </w:tc>
        <w:tc>
          <w:tcPr>
            <w:tcBorders>
              <w:top w:color="000000" w:space="0" w:sz="8" w:val="single"/>
              <w:left w:color="000000" w:space="0" w:sz="0" w:val="nil"/>
              <w:bottom w:color="000000" w:space="0" w:sz="8" w:val="single"/>
              <w:right w:color="000000" w:space="0" w:sz="8" w:val="single"/>
            </w:tcBorders>
            <w:shd w:fill="4472c4"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color w:val="ffffff"/>
              </w:rPr>
            </w:pPr>
            <w:r w:rsidDel="00000000" w:rsidR="00000000" w:rsidRPr="00000000">
              <w:rPr>
                <w:b w:val="1"/>
                <w:color w:val="ffffff"/>
                <w:rtl w:val="0"/>
              </w:rPr>
              <w:t xml:space="preserve">Date</w:t>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Call for applications opens (HEPs and Panel of Evaluators)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Thursday 15 June 2023</w:t>
            </w:r>
            <w:r w:rsidDel="00000000" w:rsidR="00000000" w:rsidRPr="00000000">
              <w:rPr>
                <w:rtl w:val="0"/>
              </w:rPr>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‘ITT information session’ webinar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Wednesday 5 July 2023</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Deadline for applications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Friday 4 August 2023 (5pm)</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Project kick off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September 2023</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Final outputs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February 2024</w:t>
            </w:r>
          </w:p>
        </w:tc>
      </w:tr>
    </w:tbl>
    <w:p w:rsidR="00000000" w:rsidDel="00000000" w:rsidP="00000000" w:rsidRDefault="00000000" w:rsidRPr="00000000" w14:paraId="00000078">
      <w:pPr>
        <w:spacing w:after="100" w:before="60" w:line="264" w:lineRule="auto"/>
        <w:ind w:right="100"/>
        <w:rPr/>
      </w:pPr>
      <w:r w:rsidDel="00000000" w:rsidR="00000000" w:rsidRPr="00000000">
        <w:rPr>
          <w:rtl w:val="0"/>
        </w:rPr>
      </w:r>
    </w:p>
    <w:p w:rsidR="00000000" w:rsidDel="00000000" w:rsidP="00000000" w:rsidRDefault="00000000" w:rsidRPr="00000000" w14:paraId="00000079">
      <w:pPr>
        <w:pStyle w:val="Heading3"/>
        <w:spacing w:after="100" w:before="60" w:lineRule="auto"/>
        <w:ind w:left="720"/>
        <w:rPr>
          <w:rFonts w:ascii="Arial" w:cs="Arial" w:eastAsia="Arial" w:hAnsi="Arial"/>
          <w:b w:val="1"/>
          <w:color w:val="3b66bc"/>
          <w:sz w:val="22"/>
          <w:szCs w:val="22"/>
        </w:rPr>
      </w:pPr>
      <w:bookmarkStart w:colFirst="0" w:colLast="0" w:name="_heading=h.ahr66tzdjwra" w:id="2"/>
      <w:bookmarkEnd w:id="2"/>
      <w:r w:rsidDel="00000000" w:rsidR="00000000" w:rsidRPr="00000000">
        <w:rPr>
          <w:rFonts w:ascii="Arial" w:cs="Arial" w:eastAsia="Arial" w:hAnsi="Arial"/>
          <w:b w:val="1"/>
          <w:color w:val="3b66bc"/>
          <w:sz w:val="22"/>
          <w:szCs w:val="22"/>
          <w:rtl w:val="0"/>
        </w:rPr>
        <w:t xml:space="preserve">Eligibility</w:t>
      </w:r>
    </w:p>
    <w:p w:rsidR="00000000" w:rsidDel="00000000" w:rsidP="00000000" w:rsidRDefault="00000000" w:rsidRPr="00000000" w14:paraId="0000007A">
      <w:pPr>
        <w:numPr>
          <w:ilvl w:val="0"/>
          <w:numId w:val="5"/>
        </w:numPr>
        <w:ind w:left="720" w:hanging="360"/>
      </w:pPr>
      <w:r w:rsidDel="00000000" w:rsidR="00000000" w:rsidRPr="00000000">
        <w:rPr>
          <w:rtl w:val="0"/>
        </w:rPr>
        <w:t xml:space="preserve">The lead applicant must be a registered English higher education provider in the approved (fee cap) category.</w:t>
      </w:r>
    </w:p>
    <w:p w:rsidR="00000000" w:rsidDel="00000000" w:rsidP="00000000" w:rsidRDefault="00000000" w:rsidRPr="00000000" w14:paraId="0000007B">
      <w:pPr>
        <w:numPr>
          <w:ilvl w:val="0"/>
          <w:numId w:val="5"/>
        </w:numPr>
        <w:ind w:left="720" w:hanging="360"/>
        <w:rPr>
          <w:u w:val="none"/>
        </w:rPr>
      </w:pPr>
      <w:r w:rsidDel="00000000" w:rsidR="00000000" w:rsidRPr="00000000">
        <w:rPr>
          <w:rtl w:val="0"/>
        </w:rPr>
        <w:t xml:space="preserve">The primary focus of the intervention must be to support the transition of disabled students into HE. </w:t>
      </w:r>
      <w:r w:rsidDel="00000000" w:rsidR="00000000" w:rsidRPr="00000000">
        <w:rPr>
          <w:rtl w:val="0"/>
        </w:rPr>
      </w:r>
    </w:p>
    <w:p w:rsidR="00000000" w:rsidDel="00000000" w:rsidP="00000000" w:rsidRDefault="00000000" w:rsidRPr="00000000" w14:paraId="0000007C">
      <w:pPr>
        <w:spacing w:after="100" w:before="60" w:line="264" w:lineRule="auto"/>
        <w:ind w:right="100"/>
        <w:rPr/>
      </w:pPr>
      <w:r w:rsidDel="00000000" w:rsidR="00000000" w:rsidRPr="00000000">
        <w:rPr>
          <w:rtl w:val="0"/>
        </w:rPr>
      </w:r>
    </w:p>
    <w:p w:rsidR="00000000" w:rsidDel="00000000" w:rsidP="00000000" w:rsidRDefault="00000000" w:rsidRPr="00000000" w14:paraId="0000007D">
      <w:pPr>
        <w:spacing w:after="100" w:before="60" w:lineRule="auto"/>
        <w:rPr>
          <w:b w:val="1"/>
          <w:color w:val="3b66bc"/>
        </w:rPr>
      </w:pPr>
      <w:r w:rsidDel="00000000" w:rsidR="00000000" w:rsidRPr="00000000">
        <w:rPr>
          <w:b w:val="1"/>
          <w:color w:val="3b66bc"/>
          <w:rtl w:val="0"/>
        </w:rPr>
        <w:t xml:space="preserve">Assessment of applications</w:t>
      </w:r>
    </w:p>
    <w:p w:rsidR="00000000" w:rsidDel="00000000" w:rsidP="00000000" w:rsidRDefault="00000000" w:rsidRPr="00000000" w14:paraId="0000007E">
      <w:pPr>
        <w:rPr>
          <w:color w:val="000000"/>
        </w:rPr>
      </w:pPr>
      <w:r w:rsidDel="00000000" w:rsidR="00000000" w:rsidRPr="00000000">
        <w:rPr>
          <w:color w:val="000000"/>
          <w:rtl w:val="0"/>
        </w:rPr>
        <w:t xml:space="preserve">Your application will be assessed by the TASO Research and Evaluation team. The strength of applications will be assessed on the below criteria (please note the weighting of each section):</w:t>
      </w:r>
    </w:p>
    <w:p w:rsidR="00000000" w:rsidDel="00000000" w:rsidP="00000000" w:rsidRDefault="00000000" w:rsidRPr="00000000" w14:paraId="0000007F">
      <w:pPr>
        <w:numPr>
          <w:ilvl w:val="0"/>
          <w:numId w:val="11"/>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The</w:t>
      </w:r>
      <w:r w:rsidDel="00000000" w:rsidR="00000000" w:rsidRPr="00000000">
        <w:rPr>
          <w:i w:val="1"/>
          <w:color w:val="000000"/>
          <w:rtl w:val="0"/>
        </w:rPr>
        <w:t xml:space="preserve"> team (40%)</w:t>
      </w:r>
    </w:p>
    <w:p w:rsidR="00000000" w:rsidDel="00000000" w:rsidP="00000000" w:rsidRDefault="00000000" w:rsidRPr="00000000" w14:paraId="00000080">
      <w:pPr>
        <w:numPr>
          <w:ilvl w:val="1"/>
          <w:numId w:val="1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The relevant experience of the project tea</w:t>
      </w:r>
      <w:r w:rsidDel="00000000" w:rsidR="00000000" w:rsidRPr="00000000">
        <w:rPr>
          <w:rtl w:val="0"/>
        </w:rPr>
        <w:t xml:space="preserve">m, </w:t>
      </w:r>
      <w:r w:rsidDel="00000000" w:rsidR="00000000" w:rsidRPr="00000000">
        <w:rPr>
          <w:rtl w:val="0"/>
        </w:rPr>
        <w:t xml:space="preserve">including experience of transitions. support for disabled students and Theory of Change development.</w:t>
      </w:r>
      <w:r w:rsidDel="00000000" w:rsidR="00000000" w:rsidRPr="00000000">
        <w:rPr>
          <w:rtl w:val="0"/>
        </w:rPr>
      </w:r>
    </w:p>
    <w:p w:rsidR="00000000" w:rsidDel="00000000" w:rsidP="00000000" w:rsidRDefault="00000000" w:rsidRPr="00000000" w14:paraId="00000081">
      <w:pPr>
        <w:numPr>
          <w:ilvl w:val="1"/>
          <w:numId w:val="1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The team’s commitment to evidence-informed practice</w:t>
      </w:r>
    </w:p>
    <w:p w:rsidR="00000000" w:rsidDel="00000000" w:rsidP="00000000" w:rsidRDefault="00000000" w:rsidRPr="00000000" w14:paraId="00000082">
      <w:pPr>
        <w:numPr>
          <w:ilvl w:val="1"/>
          <w:numId w:val="1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The team’s approach to transparency and accountabilit</w:t>
      </w:r>
      <w:r w:rsidDel="00000000" w:rsidR="00000000" w:rsidRPr="00000000">
        <w:rPr>
          <w:rtl w:val="0"/>
        </w:rPr>
        <w:t xml:space="preserve">y when working with independent evaluators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3">
      <w:pPr>
        <w:numPr>
          <w:ilvl w:val="0"/>
          <w:numId w:val="11"/>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rtl w:val="0"/>
        </w:rPr>
        <w:t xml:space="preserve">Institutional practice on support for disabled students</w:t>
      </w:r>
      <w:r w:rsidDel="00000000" w:rsidR="00000000" w:rsidRPr="00000000">
        <w:rPr>
          <w:i w:val="1"/>
          <w:color w:val="000000"/>
          <w:rtl w:val="0"/>
        </w:rPr>
        <w:t xml:space="preserve"> (40%)</w:t>
      </w:r>
    </w:p>
    <w:p w:rsidR="00000000" w:rsidDel="00000000" w:rsidP="00000000" w:rsidRDefault="00000000" w:rsidRPr="00000000" w14:paraId="0000008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How well developed your support for disabled students is and/or how well you are using evidence/evaluation to try and improve this support.</w:t>
      </w:r>
    </w:p>
    <w:p w:rsidR="00000000" w:rsidDel="00000000" w:rsidP="00000000" w:rsidRDefault="00000000" w:rsidRPr="00000000" w14:paraId="0000008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Why your institution should be involved in developing a blueprint for transitions support.</w:t>
      </w:r>
      <w:r w:rsidDel="00000000" w:rsidR="00000000" w:rsidRPr="00000000">
        <w:rPr>
          <w:rtl w:val="0"/>
        </w:rPr>
      </w:r>
    </w:p>
    <w:p w:rsidR="00000000" w:rsidDel="00000000" w:rsidP="00000000" w:rsidRDefault="00000000" w:rsidRPr="00000000" w14:paraId="00000086">
      <w:pPr>
        <w:numPr>
          <w:ilvl w:val="0"/>
          <w:numId w:val="11"/>
        </w:numPr>
        <w:ind w:left="720" w:hanging="360"/>
        <w:rPr>
          <w:rFonts w:ascii="Arial" w:cs="Arial" w:eastAsia="Arial" w:hAnsi="Arial"/>
          <w:i w:val="1"/>
          <w:sz w:val="24"/>
          <w:szCs w:val="24"/>
        </w:rPr>
      </w:pPr>
      <w:r w:rsidDel="00000000" w:rsidR="00000000" w:rsidRPr="00000000">
        <w:rPr>
          <w:i w:val="1"/>
          <w:rtl w:val="0"/>
        </w:rPr>
        <w:t xml:space="preserve">Value for money (20%)</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Your approach to allocating the £20,000 grant and the extent to which this offers value for money.</w:t>
      </w:r>
      <w:r w:rsidDel="00000000" w:rsidR="00000000" w:rsidRPr="00000000">
        <w:rPr>
          <w:rtl w:val="0"/>
        </w:rPr>
      </w:r>
    </w:p>
    <w:p w:rsidR="00000000" w:rsidDel="00000000" w:rsidP="00000000" w:rsidRDefault="00000000" w:rsidRPr="00000000" w14:paraId="00000088">
      <w:pPr>
        <w:numPr>
          <w:ilvl w:val="1"/>
          <w:numId w:val="11"/>
        </w:numPr>
        <w:spacing w:line="240" w:lineRule="auto"/>
        <w:ind w:left="1440" w:hanging="360"/>
      </w:pPr>
      <w:r w:rsidDel="00000000" w:rsidR="00000000" w:rsidRPr="00000000">
        <w:rPr>
          <w:rtl w:val="0"/>
        </w:rPr>
        <w:t xml:space="preserve">Financial stability and long-term viability of the organisation, including detail of the organisation's last set of accounts and current year budget. Please note this criterion will receive a binary score of pass/fail and if not met the application will not be considered further.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60" w:lineRule="auto"/>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pPr>
      <w:r w:rsidDel="00000000" w:rsidR="00000000" w:rsidRPr="00000000">
        <w:br w:type="page"/>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ind w:left="66" w:firstLine="0"/>
        <w:rPr>
          <w:b w:val="1"/>
          <w:color w:val="3b66bc"/>
          <w:sz w:val="36"/>
          <w:szCs w:val="36"/>
        </w:rPr>
      </w:pPr>
      <w:r w:rsidDel="00000000" w:rsidR="00000000" w:rsidRPr="00000000">
        <w:rPr>
          <w:b w:val="1"/>
          <w:color w:val="3b66bc"/>
          <w:sz w:val="36"/>
          <w:szCs w:val="36"/>
          <w:rtl w:val="0"/>
        </w:rPr>
        <w:t xml:space="preserve">Expression of Interest Form</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before="60" w:lineRule="auto"/>
        <w:ind w:left="66" w:firstLine="0"/>
        <w:rPr/>
      </w:pPr>
      <w:r w:rsidDel="00000000" w:rsidR="00000000" w:rsidRPr="00000000">
        <w:rPr>
          <w:color w:val="000000"/>
          <w:rtl w:val="0"/>
        </w:rPr>
        <w:t xml:space="preserve">Please note that hyperlinks to web-based information will not be accepted, and, if included, will not be evaluated.</w:t>
      </w:r>
      <w:r w:rsidDel="00000000" w:rsidR="00000000" w:rsidRPr="00000000">
        <w:rPr>
          <w:rtl w:val="0"/>
        </w:rPr>
      </w:r>
    </w:p>
    <w:tbl>
      <w:tblPr>
        <w:tblStyle w:val="Table3"/>
        <w:tblW w:w="935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tcPr>
          <w:p w:rsidR="00000000" w:rsidDel="00000000" w:rsidP="00000000" w:rsidRDefault="00000000" w:rsidRPr="00000000" w14:paraId="00000090">
            <w:pPr>
              <w:keepNext w:val="1"/>
              <w:tabs>
                <w:tab w:val="left" w:leader="none" w:pos="1575"/>
              </w:tabs>
              <w:spacing w:after="100" w:before="60" w:line="264" w:lineRule="auto"/>
              <w:rPr>
                <w:b w:val="1"/>
                <w:sz w:val="24"/>
                <w:szCs w:val="24"/>
              </w:rPr>
            </w:pPr>
            <w:r w:rsidDel="00000000" w:rsidR="00000000" w:rsidRPr="00000000">
              <w:rPr>
                <w:b w:val="1"/>
                <w:sz w:val="24"/>
                <w:szCs w:val="24"/>
                <w:rtl w:val="0"/>
              </w:rPr>
              <w:t xml:space="preserve">Data Protection Notice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1">
            <w:pPr>
              <w:keepNext w:val="1"/>
              <w:spacing w:before="60" w:line="264" w:lineRule="auto"/>
              <w:ind w:right="100"/>
              <w:jc w:val="both"/>
              <w:rPr>
                <w:color w:val="0e101a"/>
              </w:rPr>
            </w:pPr>
            <w:r w:rsidDel="00000000" w:rsidR="00000000" w:rsidRPr="00000000">
              <w:rPr>
                <w:color w:val="0e101a"/>
                <w:rtl w:val="0"/>
              </w:rPr>
              <w:t xml:space="preserve">Please read TASO’s </w:t>
            </w:r>
            <w:hyperlink r:id="rId23">
              <w:r w:rsidDel="00000000" w:rsidR="00000000" w:rsidRPr="00000000">
                <w:rPr>
                  <w:color w:val="1155cc"/>
                  <w:u w:val="single"/>
                  <w:rtl w:val="0"/>
                </w:rPr>
                <w:t xml:space="preserve">Data Protection Notice</w:t>
              </w:r>
            </w:hyperlink>
            <w:r w:rsidDel="00000000" w:rsidR="00000000" w:rsidRPr="00000000">
              <w:rPr>
                <w:color w:val="0e101a"/>
                <w:rtl w:val="0"/>
              </w:rPr>
              <w:t xml:space="preserve"> before submitting your application.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tcPr>
          <w:p w:rsidR="00000000" w:rsidDel="00000000" w:rsidP="00000000" w:rsidRDefault="00000000" w:rsidRPr="00000000" w14:paraId="00000092">
            <w:pPr>
              <w:keepNext w:val="1"/>
              <w:tabs>
                <w:tab w:val="left" w:leader="none" w:pos="1575"/>
              </w:tabs>
              <w:spacing w:after="100" w:before="60" w:line="264" w:lineRule="auto"/>
              <w:rPr>
                <w:b w:val="1"/>
                <w:sz w:val="24"/>
                <w:szCs w:val="24"/>
              </w:rPr>
            </w:pPr>
            <w:r w:rsidDel="00000000" w:rsidR="00000000" w:rsidRPr="00000000">
              <w:rPr>
                <w:b w:val="1"/>
                <w:sz w:val="24"/>
                <w:szCs w:val="24"/>
                <w:rtl w:val="0"/>
              </w:rPr>
              <w:t xml:space="preserve">Data Protection Notice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3">
            <w:pPr>
              <w:keepNext w:val="1"/>
              <w:spacing w:before="60" w:line="264" w:lineRule="auto"/>
              <w:ind w:right="100"/>
              <w:jc w:val="both"/>
              <w:rPr>
                <w:color w:val="0e101a"/>
              </w:rPr>
            </w:pPr>
            <w:r w:rsidDel="00000000" w:rsidR="00000000" w:rsidRPr="00000000">
              <w:rPr>
                <w:color w:val="0e101a"/>
                <w:rtl w:val="0"/>
              </w:rPr>
              <w:t xml:space="preserve">Do you confirm that you have read and understood the</w:t>
            </w:r>
            <w:hyperlink r:id="rId24">
              <w:r w:rsidDel="00000000" w:rsidR="00000000" w:rsidRPr="00000000">
                <w:rPr>
                  <w:color w:val="1155cc"/>
                  <w:u w:val="single"/>
                  <w:rtl w:val="0"/>
                </w:rPr>
                <w:t xml:space="preserve"> Data Protection Notice</w:t>
              </w:r>
            </w:hyperlink>
            <w:r w:rsidDel="00000000" w:rsidR="00000000" w:rsidRPr="00000000">
              <w:rPr>
                <w:color w:val="0e101a"/>
                <w:rtl w:val="0"/>
              </w:rPr>
              <w:t xml:space="preserve">?</w:t>
            </w:r>
          </w:p>
          <w:p w:rsidR="00000000" w:rsidDel="00000000" w:rsidP="00000000" w:rsidRDefault="00000000" w:rsidRPr="00000000" w14:paraId="00000094">
            <w:pPr>
              <w:keepNext w:val="1"/>
              <w:spacing w:before="60" w:line="264" w:lineRule="auto"/>
              <w:ind w:right="100"/>
              <w:jc w:val="both"/>
              <w:rPr>
                <w:color w:val="0e101a"/>
              </w:rPr>
            </w:pPr>
            <w:r w:rsidDel="00000000" w:rsidR="00000000" w:rsidRPr="00000000">
              <w:rPr>
                <w:color w:val="0e101a"/>
                <w:rtl w:val="0"/>
              </w:rPr>
              <w:t xml:space="preserve">Yes</w:t>
            </w:r>
          </w:p>
          <w:p w:rsidR="00000000" w:rsidDel="00000000" w:rsidP="00000000" w:rsidRDefault="00000000" w:rsidRPr="00000000" w14:paraId="00000095">
            <w:pPr>
              <w:keepNext w:val="1"/>
              <w:spacing w:before="60" w:line="264" w:lineRule="auto"/>
              <w:ind w:right="100"/>
              <w:jc w:val="both"/>
              <w:rPr>
                <w:color w:val="0e101a"/>
              </w:rPr>
            </w:pPr>
            <w:r w:rsidDel="00000000" w:rsidR="00000000" w:rsidRPr="00000000">
              <w:rPr>
                <w:color w:val="0e101a"/>
                <w:rtl w:val="0"/>
              </w:rPr>
              <w:t xml:space="preserve">No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6">
            <w:pPr>
              <w:keepNext w:val="1"/>
              <w:tabs>
                <w:tab w:val="left" w:leader="none" w:pos="1575"/>
              </w:tabs>
              <w:spacing w:line="240" w:lineRule="auto"/>
              <w:rPr>
                <w:b w:val="1"/>
                <w:sz w:val="24"/>
                <w:szCs w:val="24"/>
              </w:rPr>
            </w:pPr>
            <w:r w:rsidDel="00000000" w:rsidR="00000000" w:rsidRPr="00000000">
              <w:rPr>
                <w:b w:val="1"/>
                <w:sz w:val="24"/>
                <w:szCs w:val="24"/>
                <w:rtl w:val="0"/>
              </w:rPr>
              <w:t xml:space="preserve">Organisation/</w:t>
            </w:r>
          </w:p>
          <w:p w:rsidR="00000000" w:rsidDel="00000000" w:rsidP="00000000" w:rsidRDefault="00000000" w:rsidRPr="00000000" w14:paraId="00000097">
            <w:pPr>
              <w:keepNext w:val="1"/>
              <w:tabs>
                <w:tab w:val="left" w:leader="none" w:pos="1575"/>
              </w:tabs>
              <w:spacing w:line="240" w:lineRule="auto"/>
              <w:rPr>
                <w:b w:val="1"/>
                <w:sz w:val="24"/>
                <w:szCs w:val="24"/>
              </w:rPr>
            </w:pPr>
            <w:r w:rsidDel="00000000" w:rsidR="00000000" w:rsidRPr="00000000">
              <w:rPr>
                <w:b w:val="1"/>
                <w:sz w:val="24"/>
                <w:szCs w:val="24"/>
                <w:rtl w:val="0"/>
              </w:rPr>
              <w:t xml:space="preserve">provider name</w:t>
            </w:r>
          </w:p>
          <w:p w:rsidR="00000000" w:rsidDel="00000000" w:rsidP="00000000" w:rsidRDefault="00000000" w:rsidRPr="00000000" w14:paraId="00000098">
            <w:pPr>
              <w:keepNext w:val="1"/>
              <w:tabs>
                <w:tab w:val="left" w:leader="none" w:pos="1575"/>
              </w:tabs>
              <w:spacing w:line="240" w:lineRule="auto"/>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1"/>
              <w:spacing w:after="120" w:before="60" w:line="240" w:lineRule="auto"/>
              <w:rPr>
                <w:b w:val="1"/>
                <w:color w:val="3b66bc"/>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A">
            <w:pPr>
              <w:tabs>
                <w:tab w:val="left" w:leader="none" w:pos="1575"/>
              </w:tabs>
              <w:spacing w:after="100" w:before="60" w:line="264" w:lineRule="auto"/>
              <w:rPr>
                <w:b w:val="1"/>
                <w:sz w:val="24"/>
                <w:szCs w:val="24"/>
              </w:rPr>
            </w:pPr>
            <w:r w:rsidDel="00000000" w:rsidR="00000000" w:rsidRPr="00000000">
              <w:rPr>
                <w:b w:val="1"/>
                <w:sz w:val="24"/>
                <w:szCs w:val="24"/>
                <w:rtl w:val="0"/>
              </w:rPr>
              <w:t xml:space="preserve">Contact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120" w:before="60" w:line="240" w:lineRule="auto"/>
              <w:rPr>
                <w:b w:val="1"/>
                <w:color w:val="3b66bc"/>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C">
            <w:pPr>
              <w:tabs>
                <w:tab w:val="left" w:leader="none" w:pos="1575"/>
              </w:tabs>
              <w:spacing w:after="100" w:before="60" w:line="264" w:lineRule="auto"/>
              <w:rPr>
                <w:b w:val="1"/>
                <w:sz w:val="24"/>
                <w:szCs w:val="24"/>
              </w:rPr>
            </w:pPr>
            <w:bookmarkStart w:colFirst="0" w:colLast="0" w:name="_heading=h.30j0zll" w:id="3"/>
            <w:bookmarkEnd w:id="3"/>
            <w:r w:rsidDel="00000000" w:rsidR="00000000" w:rsidRPr="00000000">
              <w:rPr>
                <w:b w:val="1"/>
                <w:sz w:val="24"/>
                <w:szCs w:val="24"/>
                <w:rtl w:val="0"/>
              </w:rPr>
              <w:t xml:space="preserve">Contact 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120" w:before="60" w:line="240" w:lineRule="auto"/>
              <w:rPr>
                <w:b w:val="1"/>
                <w:color w:val="3b66bc"/>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E">
            <w:pPr>
              <w:spacing w:after="100" w:before="60" w:line="264" w:lineRule="auto"/>
              <w:rPr>
                <w:b w:val="1"/>
                <w:sz w:val="24"/>
                <w:szCs w:val="24"/>
              </w:rPr>
            </w:pPr>
            <w:r w:rsidDel="00000000" w:rsidR="00000000" w:rsidRPr="00000000">
              <w:rPr>
                <w:b w:val="1"/>
                <w:sz w:val="24"/>
                <w:szCs w:val="24"/>
                <w:rtl w:val="0"/>
              </w:rPr>
              <w:t xml:space="preserve">Contact 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120" w:before="60" w:line="240" w:lineRule="auto"/>
              <w:rPr>
                <w:b w:val="1"/>
                <w:color w:val="3b66bc"/>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0">
            <w:pPr>
              <w:spacing w:after="100" w:before="60" w:line="264" w:lineRule="auto"/>
              <w:rPr>
                <w:b w:val="1"/>
                <w:sz w:val="24"/>
                <w:szCs w:val="24"/>
              </w:rPr>
            </w:pPr>
            <w:r w:rsidDel="00000000" w:rsidR="00000000" w:rsidRPr="00000000">
              <w:rPr>
                <w:b w:val="1"/>
                <w:sz w:val="24"/>
                <w:szCs w:val="24"/>
                <w:rtl w:val="0"/>
              </w:rPr>
              <w:t xml:space="preserve">Where did you hear about this open call?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tcBorders>
              <w:top w:color="000000" w:space="0" w:sz="4" w:val="single"/>
            </w:tcBorders>
            <w:shd w:fill="d6e0f2" w:val="clear"/>
          </w:tcPr>
          <w:p w:rsidR="00000000" w:rsidDel="00000000" w:rsidP="00000000" w:rsidRDefault="00000000" w:rsidRPr="00000000" w14:paraId="000000A2">
            <w:pPr>
              <w:spacing w:after="100" w:before="60" w:line="264" w:lineRule="auto"/>
              <w:rPr>
                <w:b w:val="1"/>
                <w:sz w:val="36"/>
                <w:szCs w:val="36"/>
              </w:rPr>
            </w:pPr>
            <w:r w:rsidDel="00000000" w:rsidR="00000000" w:rsidRPr="00000000">
              <w:rPr>
                <w:b w:val="1"/>
                <w:sz w:val="36"/>
                <w:szCs w:val="36"/>
                <w:rtl w:val="0"/>
              </w:rPr>
              <w:t xml:space="preserve">SECTION A: Relevant experience</w:t>
            </w:r>
          </w:p>
          <w:p w:rsidR="00000000" w:rsidDel="00000000" w:rsidP="00000000" w:rsidRDefault="00000000" w:rsidRPr="00000000" w14:paraId="000000A3">
            <w:pPr>
              <w:spacing w:after="120" w:before="60" w:line="240" w:lineRule="auto"/>
              <w:rPr>
                <w:i w:val="1"/>
                <w:sz w:val="20"/>
                <w:szCs w:val="20"/>
              </w:rPr>
            </w:pPr>
            <w:r w:rsidDel="00000000" w:rsidR="00000000" w:rsidRPr="00000000">
              <w:rPr>
                <w:i w:val="1"/>
                <w:sz w:val="20"/>
                <w:szCs w:val="20"/>
                <w:rtl w:val="0"/>
              </w:rPr>
              <w:t xml:space="preserve">Please provide details of the team who would be involved in this project. Describe their proposed roles and how their </w:t>
            </w:r>
            <w:r w:rsidDel="00000000" w:rsidR="00000000" w:rsidRPr="00000000">
              <w:rPr>
                <w:i w:val="1"/>
                <w:sz w:val="20"/>
                <w:szCs w:val="20"/>
                <w:rtl w:val="0"/>
              </w:rPr>
              <w:t xml:space="preserve">skills and experience are relevant to delivering the work</w:t>
            </w:r>
            <w:r w:rsidDel="00000000" w:rsidR="00000000" w:rsidRPr="00000000">
              <w:rPr>
                <w:i w:val="1"/>
                <w:sz w:val="20"/>
                <w:szCs w:val="20"/>
                <w:rtl w:val="0"/>
              </w:rPr>
              <w:t xml:space="preserve">.</w:t>
            </w:r>
          </w:p>
          <w:p w:rsidR="00000000" w:rsidDel="00000000" w:rsidP="00000000" w:rsidRDefault="00000000" w:rsidRPr="00000000" w14:paraId="000000A4">
            <w:pPr>
              <w:spacing w:after="120" w:before="60" w:line="240" w:lineRule="auto"/>
              <w:rPr>
                <w:i w:val="1"/>
                <w:sz w:val="20"/>
                <w:szCs w:val="20"/>
              </w:rPr>
            </w:pPr>
            <w:r w:rsidDel="00000000" w:rsidR="00000000" w:rsidRPr="00000000">
              <w:rPr>
                <w:i w:val="1"/>
                <w:sz w:val="20"/>
                <w:szCs w:val="20"/>
                <w:rtl w:val="0"/>
              </w:rPr>
              <w:t xml:space="preserve">[750 words max]</w:t>
            </w:r>
          </w:p>
        </w:tc>
      </w:tr>
      <w:tr>
        <w:trPr>
          <w:cantSplit w:val="0"/>
          <w:tblHeader w:val="0"/>
        </w:trPr>
        <w:tc>
          <w:tcPr>
            <w:gridSpan w:val="2"/>
            <w:shd w:fill="auto" w:val="clear"/>
          </w:tcPr>
          <w:p w:rsidR="00000000" w:rsidDel="00000000" w:rsidP="00000000" w:rsidRDefault="00000000" w:rsidRPr="00000000" w14:paraId="000000A6">
            <w:pPr>
              <w:spacing w:after="100" w:before="60" w:line="264" w:lineRule="auto"/>
              <w:rPr>
                <w:b w:val="1"/>
                <w:sz w:val="24"/>
                <w:szCs w:val="24"/>
              </w:rPr>
            </w:pPr>
            <w:r w:rsidDel="00000000" w:rsidR="00000000" w:rsidRPr="00000000">
              <w:rPr>
                <w:rtl w:val="0"/>
              </w:rPr>
            </w:r>
          </w:p>
          <w:p w:rsidR="00000000" w:rsidDel="00000000" w:rsidP="00000000" w:rsidRDefault="00000000" w:rsidRPr="00000000" w14:paraId="000000A7">
            <w:pPr>
              <w:spacing w:after="100" w:before="60" w:line="264" w:lineRule="auto"/>
              <w:rPr>
                <w:b w:val="1"/>
                <w:sz w:val="24"/>
                <w:szCs w:val="24"/>
              </w:rPr>
            </w:pPr>
            <w:r w:rsidDel="00000000" w:rsidR="00000000" w:rsidRPr="00000000">
              <w:rPr>
                <w:rtl w:val="0"/>
              </w:rPr>
            </w:r>
          </w:p>
          <w:p w:rsidR="00000000" w:rsidDel="00000000" w:rsidP="00000000" w:rsidRDefault="00000000" w:rsidRPr="00000000" w14:paraId="000000A8">
            <w:pPr>
              <w:spacing w:after="100" w:before="60" w:line="264" w:lineRule="auto"/>
              <w:rPr>
                <w:b w:val="1"/>
                <w:sz w:val="24"/>
                <w:szCs w:val="24"/>
              </w:rPr>
            </w:pPr>
            <w:r w:rsidDel="00000000" w:rsidR="00000000" w:rsidRPr="00000000">
              <w:rPr>
                <w:rtl w:val="0"/>
              </w:rPr>
            </w:r>
          </w:p>
          <w:p w:rsidR="00000000" w:rsidDel="00000000" w:rsidP="00000000" w:rsidRDefault="00000000" w:rsidRPr="00000000" w14:paraId="000000A9">
            <w:pPr>
              <w:spacing w:after="120" w:before="60" w:line="240" w:lineRule="auto"/>
              <w:rPr>
                <w:rFonts w:ascii="MS Gothic" w:cs="MS Gothic" w:eastAsia="MS Gothic" w:hAnsi="MS Gothic"/>
                <w:b w:val="1"/>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AB">
            <w:pPr>
              <w:spacing w:after="120" w:before="60" w:line="240" w:lineRule="auto"/>
              <w:rPr>
                <w:b w:val="1"/>
                <w:sz w:val="36"/>
                <w:szCs w:val="36"/>
              </w:rPr>
            </w:pPr>
            <w:r w:rsidDel="00000000" w:rsidR="00000000" w:rsidRPr="00000000">
              <w:rPr>
                <w:b w:val="1"/>
                <w:sz w:val="36"/>
                <w:szCs w:val="36"/>
                <w:rtl w:val="0"/>
              </w:rPr>
              <w:t xml:space="preserve">SECTION B: Meeting the project brief</w:t>
            </w:r>
          </w:p>
          <w:p w:rsidR="00000000" w:rsidDel="00000000" w:rsidP="00000000" w:rsidRDefault="00000000" w:rsidRPr="00000000" w14:paraId="000000AC">
            <w:pPr>
              <w:spacing w:after="120" w:before="60" w:line="240" w:lineRule="auto"/>
              <w:rPr>
                <w:i w:val="1"/>
                <w:sz w:val="20"/>
                <w:szCs w:val="20"/>
              </w:rPr>
            </w:pPr>
            <w:r w:rsidDel="00000000" w:rsidR="00000000" w:rsidRPr="00000000">
              <w:rPr>
                <w:i w:val="1"/>
                <w:sz w:val="20"/>
                <w:szCs w:val="20"/>
                <w:rtl w:val="0"/>
              </w:rPr>
              <w:t xml:space="preserve">Please provide an overview of how you would meet the project brief. Please cover:</w:t>
            </w:r>
          </w:p>
          <w:p w:rsidR="00000000" w:rsidDel="00000000" w:rsidP="00000000" w:rsidRDefault="00000000" w:rsidRPr="00000000" w14:paraId="000000AD">
            <w:pPr>
              <w:numPr>
                <w:ilvl w:val="0"/>
                <w:numId w:val="6"/>
              </w:numPr>
              <w:spacing w:before="60" w:line="240" w:lineRule="auto"/>
              <w:ind w:left="1080" w:hanging="360"/>
              <w:rPr>
                <w:i w:val="1"/>
                <w:sz w:val="20"/>
                <w:szCs w:val="20"/>
              </w:rPr>
            </w:pPr>
            <w:r w:rsidDel="00000000" w:rsidR="00000000" w:rsidRPr="00000000">
              <w:rPr>
                <w:i w:val="1"/>
                <w:sz w:val="20"/>
                <w:szCs w:val="20"/>
                <w:rtl w:val="0"/>
              </w:rPr>
              <w:t xml:space="preserve">How you would approach each part of the project</w:t>
            </w:r>
          </w:p>
          <w:p w:rsidR="00000000" w:rsidDel="00000000" w:rsidP="00000000" w:rsidRDefault="00000000" w:rsidRPr="00000000" w14:paraId="000000AE">
            <w:pPr>
              <w:numPr>
                <w:ilvl w:val="0"/>
                <w:numId w:val="6"/>
              </w:numPr>
              <w:spacing w:before="60" w:line="240" w:lineRule="auto"/>
              <w:ind w:left="1080" w:hanging="360"/>
              <w:rPr>
                <w:i w:val="1"/>
                <w:sz w:val="20"/>
                <w:szCs w:val="20"/>
              </w:rPr>
            </w:pPr>
            <w:r w:rsidDel="00000000" w:rsidR="00000000" w:rsidRPr="00000000">
              <w:rPr>
                <w:i w:val="1"/>
                <w:sz w:val="20"/>
                <w:szCs w:val="20"/>
                <w:rtl w:val="0"/>
              </w:rPr>
              <w:t xml:space="preserve">How well </w:t>
            </w:r>
            <w:r w:rsidDel="00000000" w:rsidR="00000000" w:rsidRPr="00000000">
              <w:rPr>
                <w:i w:val="1"/>
                <w:sz w:val="20"/>
                <w:szCs w:val="20"/>
                <w:rtl w:val="0"/>
              </w:rPr>
              <w:t xml:space="preserve">developed your support for disabled students</w:t>
            </w:r>
            <w:r w:rsidDel="00000000" w:rsidR="00000000" w:rsidRPr="00000000">
              <w:rPr>
                <w:i w:val="1"/>
                <w:sz w:val="20"/>
                <w:szCs w:val="20"/>
                <w:rtl w:val="0"/>
              </w:rPr>
              <w:t xml:space="preserve"> is and/or how well you are using evidence/evaluation to try and improve this support</w:t>
            </w:r>
          </w:p>
          <w:p w:rsidR="00000000" w:rsidDel="00000000" w:rsidP="00000000" w:rsidRDefault="00000000" w:rsidRPr="00000000" w14:paraId="000000AF">
            <w:pPr>
              <w:numPr>
                <w:ilvl w:val="0"/>
                <w:numId w:val="6"/>
              </w:numPr>
              <w:spacing w:before="60" w:line="240" w:lineRule="auto"/>
              <w:ind w:left="1080" w:hanging="360"/>
              <w:rPr>
                <w:i w:val="1"/>
                <w:sz w:val="20"/>
                <w:szCs w:val="20"/>
              </w:rPr>
            </w:pPr>
            <w:r w:rsidDel="00000000" w:rsidR="00000000" w:rsidRPr="00000000">
              <w:rPr>
                <w:i w:val="1"/>
                <w:sz w:val="20"/>
                <w:szCs w:val="20"/>
                <w:rtl w:val="0"/>
              </w:rPr>
              <w:t xml:space="preserve">Why your institution should be involved in developing a blueprint for transitions support</w:t>
            </w:r>
          </w:p>
          <w:p w:rsidR="00000000" w:rsidDel="00000000" w:rsidP="00000000" w:rsidRDefault="00000000" w:rsidRPr="00000000" w14:paraId="000000B0">
            <w:pPr>
              <w:spacing w:line="240" w:lineRule="auto"/>
              <w:ind w:left="1080" w:firstLine="0"/>
              <w:rPr>
                <w:i w:val="1"/>
                <w:sz w:val="20"/>
                <w:szCs w:val="20"/>
              </w:rPr>
            </w:pPr>
            <w:r w:rsidDel="00000000" w:rsidR="00000000" w:rsidRPr="00000000">
              <w:rPr>
                <w:rtl w:val="0"/>
              </w:rPr>
            </w:r>
          </w:p>
          <w:p w:rsidR="00000000" w:rsidDel="00000000" w:rsidP="00000000" w:rsidRDefault="00000000" w:rsidRPr="00000000" w14:paraId="000000B1">
            <w:pPr>
              <w:spacing w:after="120" w:line="240" w:lineRule="auto"/>
              <w:rPr>
                <w:b w:val="1"/>
                <w:sz w:val="36"/>
                <w:szCs w:val="36"/>
              </w:rPr>
            </w:pPr>
            <w:r w:rsidDel="00000000" w:rsidR="00000000" w:rsidRPr="00000000">
              <w:rPr>
                <w:i w:val="1"/>
                <w:sz w:val="20"/>
                <w:szCs w:val="20"/>
                <w:rtl w:val="0"/>
              </w:rPr>
              <w:t xml:space="preserve">[2000 words max (but please do not feel you need to meet this limit)]</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3">
            <w:pPr>
              <w:spacing w:after="120" w:before="60" w:line="240" w:lineRule="auto"/>
              <w:rPr>
                <w:b w:val="1"/>
                <w:sz w:val="24"/>
                <w:szCs w:val="24"/>
              </w:rPr>
            </w:pPr>
            <w:r w:rsidDel="00000000" w:rsidR="00000000" w:rsidRPr="00000000">
              <w:rPr>
                <w:rtl w:val="0"/>
              </w:rPr>
            </w:r>
          </w:p>
          <w:p w:rsidR="00000000" w:rsidDel="00000000" w:rsidP="00000000" w:rsidRDefault="00000000" w:rsidRPr="00000000" w14:paraId="000000B4">
            <w:pPr>
              <w:spacing w:after="120" w:before="60" w:line="240" w:lineRule="auto"/>
              <w:rPr>
                <w:b w:val="1"/>
                <w:sz w:val="24"/>
                <w:szCs w:val="24"/>
              </w:rPr>
            </w:pPr>
            <w:r w:rsidDel="00000000" w:rsidR="00000000" w:rsidRPr="00000000">
              <w:rPr>
                <w:rtl w:val="0"/>
              </w:rPr>
            </w:r>
          </w:p>
          <w:p w:rsidR="00000000" w:rsidDel="00000000" w:rsidP="00000000" w:rsidRDefault="00000000" w:rsidRPr="00000000" w14:paraId="000000B5">
            <w:pPr>
              <w:spacing w:after="120" w:before="60" w:line="240" w:lineRule="auto"/>
              <w:rPr>
                <w:b w:val="1"/>
                <w:sz w:val="24"/>
                <w:szCs w:val="24"/>
              </w:rPr>
            </w:pPr>
            <w:r w:rsidDel="00000000" w:rsidR="00000000" w:rsidRPr="00000000">
              <w:rPr>
                <w:rtl w:val="0"/>
              </w:rPr>
            </w:r>
          </w:p>
          <w:p w:rsidR="00000000" w:rsidDel="00000000" w:rsidP="00000000" w:rsidRDefault="00000000" w:rsidRPr="00000000" w14:paraId="000000B6">
            <w:pPr>
              <w:spacing w:after="120" w:before="60" w:line="240" w:lineRule="auto"/>
              <w:rPr>
                <w:b w:val="1"/>
                <w:sz w:val="24"/>
                <w:szCs w:val="24"/>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0B8">
            <w:pPr>
              <w:spacing w:after="100" w:before="60" w:line="264" w:lineRule="auto"/>
              <w:rPr>
                <w:b w:val="1"/>
                <w:sz w:val="36"/>
                <w:szCs w:val="36"/>
              </w:rPr>
            </w:pPr>
            <w:r w:rsidDel="00000000" w:rsidR="00000000" w:rsidRPr="00000000">
              <w:rPr>
                <w:b w:val="1"/>
                <w:sz w:val="36"/>
                <w:szCs w:val="36"/>
                <w:rtl w:val="0"/>
              </w:rPr>
              <w:t xml:space="preserve">SECTION C: Project budget </w:t>
            </w:r>
          </w:p>
          <w:p w:rsidR="00000000" w:rsidDel="00000000" w:rsidP="00000000" w:rsidRDefault="00000000" w:rsidRPr="00000000" w14:paraId="000000B9">
            <w:pPr>
              <w:spacing w:after="120" w:before="60" w:line="240" w:lineRule="auto"/>
              <w:rPr>
                <w:b w:val="1"/>
                <w:sz w:val="36"/>
                <w:szCs w:val="36"/>
              </w:rPr>
            </w:pPr>
            <w:r w:rsidDel="00000000" w:rsidR="00000000" w:rsidRPr="00000000">
              <w:rPr>
                <w:i w:val="1"/>
                <w:sz w:val="20"/>
                <w:szCs w:val="20"/>
                <w:rtl w:val="0"/>
              </w:rPr>
              <w:t xml:space="preserve">You may apply for funding to the value of </w:t>
            </w:r>
            <w:r w:rsidDel="00000000" w:rsidR="00000000" w:rsidRPr="00000000">
              <w:rPr>
                <w:i w:val="1"/>
                <w:sz w:val="20"/>
                <w:szCs w:val="20"/>
                <w:rtl w:val="0"/>
              </w:rPr>
              <w:t xml:space="preserve">£20,000</w:t>
            </w:r>
            <w:r w:rsidDel="00000000" w:rsidR="00000000" w:rsidRPr="00000000">
              <w:rPr>
                <w:i w:val="1"/>
                <w:sz w:val="20"/>
                <w:szCs w:val="20"/>
                <w:rtl w:val="0"/>
              </w:rPr>
              <w:t xml:space="preserve"> to deliver this project. Provide a budget showing how you propose to use the funding provided. </w:t>
            </w:r>
            <w:r w:rsidDel="00000000" w:rsidR="00000000" w:rsidRPr="00000000">
              <w:rPr>
                <w:i w:val="1"/>
                <w:sz w:val="20"/>
                <w:szCs w:val="20"/>
                <w:rtl w:val="0"/>
              </w:rPr>
              <w:t xml:space="preserve">A maximum overhead rate of 25% on staff costs will be considered.</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B">
            <w:pPr>
              <w:spacing w:line="264" w:lineRule="auto"/>
              <w:rPr>
                <w:color w:val="3b66bc"/>
                <w:sz w:val="24"/>
                <w:szCs w:val="24"/>
              </w:rPr>
            </w:pPr>
            <w:r w:rsidDel="00000000" w:rsidR="00000000" w:rsidRPr="00000000">
              <w:rPr>
                <w:rtl w:val="0"/>
              </w:rPr>
            </w:r>
          </w:p>
          <w:p w:rsidR="00000000" w:rsidDel="00000000" w:rsidP="00000000" w:rsidRDefault="00000000" w:rsidRPr="00000000" w14:paraId="000000BC">
            <w:pPr>
              <w:spacing w:line="264" w:lineRule="auto"/>
              <w:rPr>
                <w:color w:val="3b66bc"/>
                <w:sz w:val="24"/>
                <w:szCs w:val="24"/>
              </w:rPr>
            </w:pPr>
            <w:r w:rsidDel="00000000" w:rsidR="00000000" w:rsidRPr="00000000">
              <w:rPr>
                <w:rtl w:val="0"/>
              </w:rPr>
            </w:r>
          </w:p>
          <w:p w:rsidR="00000000" w:rsidDel="00000000" w:rsidP="00000000" w:rsidRDefault="00000000" w:rsidRPr="00000000" w14:paraId="000000BD">
            <w:pPr>
              <w:spacing w:line="264" w:lineRule="auto"/>
              <w:rPr>
                <w:color w:val="3b66bc"/>
                <w:sz w:val="24"/>
                <w:szCs w:val="24"/>
              </w:rPr>
            </w:pPr>
            <w:r w:rsidDel="00000000" w:rsidR="00000000" w:rsidRPr="00000000">
              <w:rPr>
                <w:rtl w:val="0"/>
              </w:rPr>
            </w:r>
          </w:p>
          <w:p w:rsidR="00000000" w:rsidDel="00000000" w:rsidP="00000000" w:rsidRDefault="00000000" w:rsidRPr="00000000" w14:paraId="000000BE">
            <w:pPr>
              <w:spacing w:line="264" w:lineRule="auto"/>
              <w:rPr>
                <w:color w:val="3b66bc"/>
                <w:sz w:val="24"/>
                <w:szCs w:val="24"/>
              </w:rPr>
            </w:pPr>
            <w:r w:rsidDel="00000000" w:rsidR="00000000" w:rsidRPr="00000000">
              <w:rPr>
                <w:rtl w:val="0"/>
              </w:rPr>
            </w:r>
          </w:p>
          <w:p w:rsidR="00000000" w:rsidDel="00000000" w:rsidP="00000000" w:rsidRDefault="00000000" w:rsidRPr="00000000" w14:paraId="000000BF">
            <w:pPr>
              <w:spacing w:line="264" w:lineRule="auto"/>
              <w:rPr>
                <w:color w:val="3b66bc"/>
                <w:sz w:val="24"/>
                <w:szCs w:val="24"/>
              </w:rPr>
            </w:pPr>
            <w:r w:rsidDel="00000000" w:rsidR="00000000" w:rsidRPr="00000000">
              <w:rPr>
                <w:rtl w:val="0"/>
              </w:rPr>
            </w:r>
          </w:p>
          <w:p w:rsidR="00000000" w:rsidDel="00000000" w:rsidP="00000000" w:rsidRDefault="00000000" w:rsidRPr="00000000" w14:paraId="000000C0">
            <w:pPr>
              <w:spacing w:line="264" w:lineRule="auto"/>
              <w:rPr>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C2">
            <w:pPr>
              <w:spacing w:line="264" w:lineRule="auto"/>
              <w:rPr>
                <w:sz w:val="36"/>
                <w:szCs w:val="36"/>
              </w:rPr>
            </w:pPr>
            <w:r w:rsidDel="00000000" w:rsidR="00000000" w:rsidRPr="00000000">
              <w:rPr>
                <w:b w:val="1"/>
                <w:sz w:val="36"/>
                <w:szCs w:val="36"/>
                <w:rtl w:val="0"/>
              </w:rPr>
              <w:t xml:space="preserve">SECTION D: Financial stability </w:t>
            </w:r>
            <w:r w:rsidDel="00000000" w:rsidR="00000000" w:rsidRPr="00000000">
              <w:rPr>
                <w:rtl w:val="0"/>
              </w:rPr>
            </w:r>
          </w:p>
          <w:p w:rsidR="00000000" w:rsidDel="00000000" w:rsidP="00000000" w:rsidRDefault="00000000" w:rsidRPr="00000000" w14:paraId="000000C3">
            <w:pPr>
              <w:spacing w:after="100" w:before="60" w:lineRule="auto"/>
              <w:rPr>
                <w:sz w:val="20"/>
                <w:szCs w:val="20"/>
              </w:rPr>
            </w:pPr>
            <w:r w:rsidDel="00000000" w:rsidR="00000000" w:rsidRPr="00000000">
              <w:rPr>
                <w:i w:val="1"/>
                <w:sz w:val="20"/>
                <w:szCs w:val="20"/>
                <w:rtl w:val="0"/>
              </w:rPr>
              <w:t xml:space="preserve">Financial stability and long-term viability of the organisation is an essential criteria for this application. Please provide:</w:t>
            </w:r>
            <w:r w:rsidDel="00000000" w:rsidR="00000000" w:rsidRPr="00000000">
              <w:rPr>
                <w:rtl w:val="0"/>
              </w:rPr>
            </w:r>
          </w:p>
          <w:p w:rsidR="00000000" w:rsidDel="00000000" w:rsidP="00000000" w:rsidRDefault="00000000" w:rsidRPr="00000000" w14:paraId="000000C4">
            <w:pPr>
              <w:numPr>
                <w:ilvl w:val="0"/>
                <w:numId w:val="8"/>
              </w:numPr>
              <w:spacing w:before="60" w:lineRule="auto"/>
              <w:ind w:left="720" w:hanging="360"/>
              <w:rPr>
                <w:rFonts w:ascii="Calibri" w:cs="Calibri" w:eastAsia="Calibri" w:hAnsi="Calibri"/>
                <w:i w:val="1"/>
                <w:sz w:val="20"/>
                <w:szCs w:val="20"/>
              </w:rPr>
            </w:pPr>
            <w:r w:rsidDel="00000000" w:rsidR="00000000" w:rsidRPr="00000000">
              <w:rPr>
                <w:i w:val="1"/>
                <w:sz w:val="20"/>
                <w:szCs w:val="20"/>
                <w:rtl w:val="0"/>
              </w:rPr>
              <w:t xml:space="preserve">Your organisation's last set of accounts</w:t>
            </w:r>
            <w:r w:rsidDel="00000000" w:rsidR="00000000" w:rsidRPr="00000000">
              <w:rPr>
                <w:rtl w:val="0"/>
              </w:rPr>
            </w:r>
          </w:p>
          <w:p w:rsidR="00000000" w:rsidDel="00000000" w:rsidP="00000000" w:rsidRDefault="00000000" w:rsidRPr="00000000" w14:paraId="000000C5">
            <w:pPr>
              <w:numPr>
                <w:ilvl w:val="0"/>
                <w:numId w:val="8"/>
              </w:numPr>
              <w:spacing w:after="100" w:lineRule="auto"/>
              <w:ind w:left="720" w:hanging="360"/>
              <w:rPr>
                <w:rFonts w:ascii="Calibri" w:cs="Calibri" w:eastAsia="Calibri" w:hAnsi="Calibri"/>
                <w:i w:val="1"/>
                <w:sz w:val="20"/>
                <w:szCs w:val="20"/>
              </w:rPr>
            </w:pPr>
            <w:r w:rsidDel="00000000" w:rsidR="00000000" w:rsidRPr="00000000">
              <w:rPr>
                <w:i w:val="1"/>
                <w:sz w:val="20"/>
                <w:szCs w:val="20"/>
                <w:rtl w:val="0"/>
              </w:rPr>
              <w:t xml:space="preserve">Your organisation's current year budget.</w:t>
            </w:r>
            <w:r w:rsidDel="00000000" w:rsidR="00000000" w:rsidRPr="00000000">
              <w:rPr>
                <w:rtl w:val="0"/>
              </w:rPr>
            </w:r>
          </w:p>
          <w:p w:rsidR="00000000" w:rsidDel="00000000" w:rsidP="00000000" w:rsidRDefault="00000000" w:rsidRPr="00000000" w14:paraId="000000C6">
            <w:pPr>
              <w:spacing w:after="100" w:before="60" w:lineRule="auto"/>
              <w:rPr>
                <w:color w:val="3b66bc"/>
                <w:sz w:val="24"/>
                <w:szCs w:val="24"/>
              </w:rPr>
            </w:pPr>
            <w:r w:rsidDel="00000000" w:rsidR="00000000" w:rsidRPr="00000000">
              <w:rPr>
                <w:b w:val="1"/>
                <w:i w:val="1"/>
                <w:sz w:val="20"/>
                <w:szCs w:val="20"/>
                <w:rtl w:val="0"/>
              </w:rPr>
              <w:t xml:space="preserve">You may also provide this as a pdf document alongside your completed application form. </w:t>
            </w:r>
            <w:r w:rsidDel="00000000" w:rsidR="00000000" w:rsidRPr="00000000">
              <w:rPr>
                <w:rtl w:val="0"/>
              </w:rPr>
            </w:r>
          </w:p>
        </w:tc>
      </w:tr>
      <w:tr>
        <w:trPr>
          <w:cantSplit w:val="0"/>
          <w:trHeight w:val="440" w:hRule="atLeast"/>
          <w:tblHeader w:val="0"/>
        </w:trPr>
        <w:tc>
          <w:tcPr>
            <w:gridSpan w:val="2"/>
            <w:shd w:fill="auto" w:val="clear"/>
          </w:tcPr>
          <w:p w:rsidR="00000000" w:rsidDel="00000000" w:rsidP="00000000" w:rsidRDefault="00000000" w:rsidRPr="00000000" w14:paraId="000000C8">
            <w:pPr>
              <w:spacing w:line="264" w:lineRule="auto"/>
              <w:rPr>
                <w:color w:val="3b66bc"/>
                <w:sz w:val="24"/>
                <w:szCs w:val="24"/>
              </w:rPr>
            </w:pPr>
            <w:r w:rsidDel="00000000" w:rsidR="00000000" w:rsidRPr="00000000">
              <w:rPr>
                <w:rtl w:val="0"/>
              </w:rPr>
            </w:r>
          </w:p>
          <w:p w:rsidR="00000000" w:rsidDel="00000000" w:rsidP="00000000" w:rsidRDefault="00000000" w:rsidRPr="00000000" w14:paraId="000000C9">
            <w:pPr>
              <w:spacing w:line="264" w:lineRule="auto"/>
              <w:rPr>
                <w:color w:val="3b66bc"/>
                <w:sz w:val="24"/>
                <w:szCs w:val="24"/>
              </w:rPr>
            </w:pPr>
            <w:r w:rsidDel="00000000" w:rsidR="00000000" w:rsidRPr="00000000">
              <w:rPr>
                <w:rtl w:val="0"/>
              </w:rPr>
            </w:r>
          </w:p>
          <w:p w:rsidR="00000000" w:rsidDel="00000000" w:rsidP="00000000" w:rsidRDefault="00000000" w:rsidRPr="00000000" w14:paraId="000000CA">
            <w:pPr>
              <w:spacing w:line="264" w:lineRule="auto"/>
              <w:rPr>
                <w:color w:val="3b66bc"/>
                <w:sz w:val="24"/>
                <w:szCs w:val="24"/>
              </w:rPr>
            </w:pPr>
            <w:r w:rsidDel="00000000" w:rsidR="00000000" w:rsidRPr="00000000">
              <w:rPr>
                <w:rtl w:val="0"/>
              </w:rPr>
            </w:r>
          </w:p>
        </w:tc>
      </w:tr>
    </w:tbl>
    <w:p w:rsidR="00000000" w:rsidDel="00000000" w:rsidP="00000000" w:rsidRDefault="00000000" w:rsidRPr="00000000" w14:paraId="000000CC">
      <w:pPr>
        <w:keepNext w:val="1"/>
        <w:keepLines w:val="1"/>
        <w:spacing w:after="120" w:before="60" w:lineRule="auto"/>
        <w:rPr>
          <w:i w:val="1"/>
          <w:color w:val="43434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D">
      <w:pPr>
        <w:keepNext w:val="1"/>
        <w:keepLines w:val="1"/>
        <w:spacing w:after="120" w:before="60" w:lineRule="auto"/>
        <w:rPr>
          <w:i w:val="1"/>
          <w:color w:val="434343"/>
          <w:sz w:val="24"/>
          <w:szCs w:val="24"/>
        </w:rPr>
      </w:pPr>
      <w:r w:rsidDel="00000000" w:rsidR="00000000" w:rsidRPr="00000000">
        <w:rPr>
          <w:i w:val="1"/>
          <w:color w:val="434343"/>
          <w:sz w:val="24"/>
          <w:szCs w:val="24"/>
          <w:rtl w:val="0"/>
        </w:rPr>
        <w:t xml:space="preserve">Additional guidance</w:t>
      </w:r>
    </w:p>
    <w:p w:rsidR="00000000" w:rsidDel="00000000" w:rsidP="00000000" w:rsidRDefault="00000000" w:rsidRPr="00000000" w14:paraId="000000CE">
      <w:pPr>
        <w:spacing w:before="60" w:lineRule="auto"/>
        <w:ind w:left="720" w:firstLine="0"/>
        <w:rPr/>
      </w:pPr>
      <w:r w:rsidDel="00000000" w:rsidR="00000000" w:rsidRPr="00000000">
        <w:rPr>
          <w:rtl w:val="0"/>
        </w:rPr>
        <w:t xml:space="preserve">TASO reserves the right, acting reasonably, to:</w:t>
      </w:r>
    </w:p>
    <w:p w:rsidR="00000000" w:rsidDel="00000000" w:rsidP="00000000" w:rsidRDefault="00000000" w:rsidRPr="00000000" w14:paraId="000000CF">
      <w:pPr>
        <w:numPr>
          <w:ilvl w:val="1"/>
          <w:numId w:val="2"/>
        </w:numPr>
        <w:ind w:left="1440" w:hanging="360"/>
      </w:pPr>
      <w:r w:rsidDel="00000000" w:rsidR="00000000" w:rsidRPr="00000000">
        <w:rPr>
          <w:rtl w:val="0"/>
        </w:rPr>
        <w:t xml:space="preserve">Discontinue the award procedure in the absence of appropriate applications;  </w:t>
      </w:r>
    </w:p>
    <w:p w:rsidR="00000000" w:rsidDel="00000000" w:rsidP="00000000" w:rsidRDefault="00000000" w:rsidRPr="00000000" w14:paraId="000000D0">
      <w:pPr>
        <w:numPr>
          <w:ilvl w:val="1"/>
          <w:numId w:val="2"/>
        </w:numPr>
        <w:ind w:left="1440" w:hanging="360"/>
      </w:pPr>
      <w:r w:rsidDel="00000000" w:rsidR="00000000" w:rsidRPr="00000000">
        <w:rPr>
          <w:rtl w:val="0"/>
        </w:rPr>
        <w:t xml:space="preserve">Change the timetable for the procurement of the Contract, and in such circumstances TASO will notify all applicants of any change by the fastest means possible;</w:t>
      </w:r>
    </w:p>
    <w:p w:rsidR="00000000" w:rsidDel="00000000" w:rsidP="00000000" w:rsidRDefault="00000000" w:rsidRPr="00000000" w14:paraId="000000D1">
      <w:pPr>
        <w:numPr>
          <w:ilvl w:val="1"/>
          <w:numId w:val="2"/>
        </w:numPr>
        <w:ind w:left="1440" w:hanging="360"/>
      </w:pPr>
      <w:r w:rsidDel="00000000" w:rsidR="00000000" w:rsidRPr="00000000">
        <w:rPr>
          <w:rtl w:val="0"/>
        </w:rPr>
        <w:t xml:space="preserve">Terminate discussions with organisations which apply; </w:t>
      </w:r>
    </w:p>
    <w:p w:rsidR="00000000" w:rsidDel="00000000" w:rsidP="00000000" w:rsidRDefault="00000000" w:rsidRPr="00000000" w14:paraId="000000D2">
      <w:pPr>
        <w:numPr>
          <w:ilvl w:val="1"/>
          <w:numId w:val="2"/>
        </w:numPr>
        <w:ind w:left="1440" w:hanging="360"/>
      </w:pPr>
      <w:r w:rsidDel="00000000" w:rsidR="00000000" w:rsidRPr="00000000">
        <w:rPr>
          <w:rtl w:val="0"/>
        </w:rPr>
        <w:t xml:space="preserve">Discontinue the procedure leading to the award of the Contract;</w:t>
      </w:r>
    </w:p>
    <w:p w:rsidR="00000000" w:rsidDel="00000000" w:rsidP="00000000" w:rsidRDefault="00000000" w:rsidRPr="00000000" w14:paraId="000000D3">
      <w:pPr>
        <w:numPr>
          <w:ilvl w:val="1"/>
          <w:numId w:val="2"/>
        </w:numPr>
        <w:ind w:left="1440" w:hanging="360"/>
      </w:pPr>
      <w:r w:rsidDel="00000000" w:rsidR="00000000" w:rsidRPr="00000000">
        <w:rPr>
          <w:rtl w:val="0"/>
        </w:rPr>
        <w:t xml:space="preserve">Not to award any Contract at all as a result of this process</w:t>
      </w:r>
    </w:p>
    <w:p w:rsidR="00000000" w:rsidDel="00000000" w:rsidP="00000000" w:rsidRDefault="00000000" w:rsidRPr="00000000" w14:paraId="000000D4">
      <w:pPr>
        <w:ind w:left="720" w:firstLine="0"/>
        <w:rPr/>
      </w:pPr>
      <w:r w:rsidDel="00000000" w:rsidR="00000000" w:rsidRPr="00000000">
        <w:rPr>
          <w:rtl w:val="0"/>
        </w:rPr>
        <w:t xml:space="preserve">Under no circumstances shall TASO incur any liability in respect of any of these actions.</w:t>
      </w:r>
    </w:p>
    <w:p w:rsidR="00000000" w:rsidDel="00000000" w:rsidP="00000000" w:rsidRDefault="00000000" w:rsidRPr="00000000" w14:paraId="000000D5">
      <w:pPr>
        <w:ind w:left="720" w:firstLine="0"/>
        <w:rPr/>
      </w:pPr>
      <w:r w:rsidDel="00000000" w:rsidR="00000000" w:rsidRPr="00000000">
        <w:rPr>
          <w:rtl w:val="0"/>
        </w:rPr>
        <w:t xml:space="preserve">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rsidR="00000000" w:rsidDel="00000000" w:rsidP="00000000" w:rsidRDefault="00000000" w:rsidRPr="00000000" w14:paraId="000000D6">
      <w:pPr>
        <w:ind w:left="720" w:firstLine="0"/>
        <w:rPr/>
      </w:pPr>
      <w:r w:rsidDel="00000000" w:rsidR="00000000" w:rsidRPr="00000000">
        <w:rPr>
          <w:rtl w:val="0"/>
        </w:rPr>
        <w:t xml:space="preserve">TASO will not reimburse any costs incurred by organisations in connection with preparation of their applications. </w:t>
      </w:r>
    </w:p>
    <w:p w:rsidR="00000000" w:rsidDel="00000000" w:rsidP="00000000" w:rsidRDefault="00000000" w:rsidRPr="00000000" w14:paraId="000000D7">
      <w:pPr>
        <w:ind w:left="720" w:firstLine="0"/>
        <w:rPr/>
      </w:pPr>
      <w:r w:rsidDel="00000000" w:rsidR="00000000" w:rsidRPr="00000000">
        <w:rPr>
          <w:rtl w:val="0"/>
        </w:rPr>
        <w:t xml:space="preserve">If you are unsure of the meaning of a question or anything in this call for applications then it is your responsibility to ask TASO to clarify in writing via email.</w:t>
      </w:r>
    </w:p>
    <w:p w:rsidR="00000000" w:rsidDel="00000000" w:rsidP="00000000" w:rsidRDefault="00000000" w:rsidRPr="00000000" w14:paraId="000000D8">
      <w:pPr>
        <w:ind w:left="720" w:firstLine="0"/>
        <w:rPr/>
        <w:sectPr>
          <w:headerReference r:id="rId25" w:type="default"/>
          <w:footerReference r:id="rId26" w:type="default"/>
          <w:pgSz w:h="15840" w:w="12240" w:orient="portrait"/>
          <w:pgMar w:bottom="1440" w:top="1440" w:left="1440" w:right="1440" w:header="0" w:footer="720"/>
          <w:pgNumType w:start="1"/>
        </w:sectPr>
      </w:pPr>
      <w:r w:rsidDel="00000000" w:rsidR="00000000" w:rsidRPr="00000000">
        <w:rPr>
          <w:rtl w:val="0"/>
        </w:rPr>
        <w:t xml:space="preserve">TASO will aim to answer clarification questions within five (5) working days, but does not undertake to do so. TASO may also decline to answer a question if it deems the question to be inappropriate. If TASO is unable to answer a question, this will be communicate</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sectPr>
      <w:headerReference r:id="rId27"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ind w:left="720" w:firstLine="0"/>
      <w:rPr/>
    </w:pPr>
    <w:r w:rsidDel="00000000" w:rsidR="00000000" w:rsidRPr="00000000">
      <w:rPr>
        <w:rtl w:val="0"/>
      </w:rPr>
    </w:r>
    <w:r w:rsidDel="00000000" w:rsidR="00000000" w:rsidRPr="00000000">
      <w:drawing>
        <wp:anchor allowOverlap="1" behindDoc="0" distB="101600" distT="0" distL="0" distR="0" hidden="0" layoutInCell="1" locked="0" relativeHeight="0" simplePos="0">
          <wp:simplePos x="0" y="0"/>
          <wp:positionH relativeFrom="column">
            <wp:posOffset>-885824</wp:posOffset>
          </wp:positionH>
          <wp:positionV relativeFrom="paragraph">
            <wp:posOffset>0</wp:posOffset>
          </wp:positionV>
          <wp:extent cx="2828925" cy="847725"/>
          <wp:effectExtent b="0" l="0" r="0" t="0"/>
          <wp:wrapNone/>
          <wp:docPr descr="A picture containing object&#10;&#10;Description automatically generated" id="261300551" name="image1.png"/>
          <a:graphic>
            <a:graphicData uri="http://schemas.openxmlformats.org/drawingml/2006/picture">
              <pic:pic>
                <pic:nvPicPr>
                  <pic:cNvPr descr="A picture containing object&#10;&#10;Description automatically generated" id="0" name="image1.png"/>
                  <pic:cNvPicPr preferRelativeResize="0"/>
                </pic:nvPicPr>
                <pic:blipFill>
                  <a:blip r:embed="rId1"/>
                  <a:srcRect b="0" l="0" r="0" t="0"/>
                  <a:stretch>
                    <a:fillRect/>
                  </a:stretch>
                </pic:blipFill>
                <pic:spPr>
                  <a:xfrm>
                    <a:off x="0" y="0"/>
                    <a:ext cx="2828925" cy="847725"/>
                  </a:xfrm>
                  <a:prstGeom prst="rect"/>
                  <a:ln/>
                </pic:spPr>
              </pic:pic>
            </a:graphicData>
          </a:graphic>
        </wp:anchor>
      </w:drawing>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16C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ED2C3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A66B47"/>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link w:val="ListParagraphChar"/>
    <w:uiPriority w:val="34"/>
    <w:qFormat w:val="1"/>
    <w:rsid w:val="00C016C7"/>
    <w:pPr>
      <w:ind w:left="720"/>
      <w:contextualSpacing w:val="1"/>
    </w:pPr>
  </w:style>
  <w:style w:type="paragraph" w:styleId="NormalWeb">
    <w:name w:val="Normal (Web)"/>
    <w:basedOn w:val="Normal"/>
    <w:uiPriority w:val="99"/>
    <w:semiHidden w:val="1"/>
    <w:unhideWhenUsed w:val="1"/>
    <w:rsid w:val="00F976E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163C7"/>
    <w:rPr>
      <w:color w:val="0563c1" w:themeColor="hyperlink"/>
      <w:u w:val="single"/>
    </w:rPr>
  </w:style>
  <w:style w:type="character" w:styleId="UnresolvedMention">
    <w:name w:val="Unresolved Mention"/>
    <w:basedOn w:val="DefaultParagraphFont"/>
    <w:uiPriority w:val="99"/>
    <w:rsid w:val="007163C7"/>
    <w:rPr>
      <w:color w:val="605e5c"/>
      <w:shd w:color="auto" w:fill="e1dfdd" w:val="clear"/>
    </w:rPr>
  </w:style>
  <w:style w:type="character" w:styleId="FollowedHyperlink">
    <w:name w:val="FollowedHyperlink"/>
    <w:basedOn w:val="DefaultParagraphFont"/>
    <w:uiPriority w:val="99"/>
    <w:semiHidden w:val="1"/>
    <w:unhideWhenUsed w:val="1"/>
    <w:rsid w:val="007163C7"/>
    <w:rPr>
      <w:color w:val="954f72" w:themeColor="followedHyperlink"/>
      <w:u w:val="single"/>
    </w:rPr>
  </w:style>
  <w:style w:type="character" w:styleId="Heading2Char" w:customStyle="1">
    <w:name w:val="Heading 2 Char"/>
    <w:basedOn w:val="DefaultParagraphFont"/>
    <w:link w:val="Heading2"/>
    <w:uiPriority w:val="9"/>
    <w:rsid w:val="00ED2C30"/>
    <w:rPr>
      <w:rFonts w:ascii="Times New Roman" w:cs="Times New Roman" w:eastAsia="Times New Roman" w:hAnsi="Times New Roman"/>
      <w:b w:val="1"/>
      <w:bCs w:val="1"/>
      <w:sz w:val="36"/>
      <w:szCs w:val="36"/>
      <w:lang w:eastAsia="en-GB"/>
    </w:rPr>
  </w:style>
  <w:style w:type="character" w:styleId="normaltextrun" w:customStyle="1">
    <w:name w:val="normaltextrun"/>
    <w:basedOn w:val="DefaultParagraphFont"/>
    <w:rsid w:val="00BA1693"/>
  </w:style>
  <w:style w:type="character" w:styleId="CommentReference">
    <w:name w:val="annotation reference"/>
    <w:basedOn w:val="DefaultParagraphFont"/>
    <w:uiPriority w:val="99"/>
    <w:semiHidden w:val="1"/>
    <w:unhideWhenUsed w:val="1"/>
    <w:rsid w:val="00E3189B"/>
    <w:rPr>
      <w:sz w:val="16"/>
      <w:szCs w:val="16"/>
    </w:rPr>
  </w:style>
  <w:style w:type="paragraph" w:styleId="CommentText">
    <w:name w:val="annotation text"/>
    <w:basedOn w:val="Normal"/>
    <w:link w:val="CommentTextChar"/>
    <w:uiPriority w:val="99"/>
    <w:unhideWhenUsed w:val="1"/>
    <w:rsid w:val="00E3189B"/>
    <w:pPr>
      <w:spacing w:line="240" w:lineRule="auto"/>
    </w:pPr>
    <w:rPr>
      <w:sz w:val="20"/>
      <w:szCs w:val="20"/>
    </w:rPr>
  </w:style>
  <w:style w:type="character" w:styleId="CommentTextChar" w:customStyle="1">
    <w:name w:val="Comment Text Char"/>
    <w:basedOn w:val="DefaultParagraphFont"/>
    <w:link w:val="CommentText"/>
    <w:uiPriority w:val="99"/>
    <w:rsid w:val="00E3189B"/>
    <w:rPr>
      <w:rFonts w:ascii="Arial" w:cs="Arial" w:eastAsia="Arial"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E3189B"/>
    <w:rPr>
      <w:b w:val="1"/>
      <w:bCs w:val="1"/>
    </w:rPr>
  </w:style>
  <w:style w:type="character" w:styleId="CommentSubjectChar" w:customStyle="1">
    <w:name w:val="Comment Subject Char"/>
    <w:basedOn w:val="CommentTextChar"/>
    <w:link w:val="CommentSubject"/>
    <w:uiPriority w:val="99"/>
    <w:semiHidden w:val="1"/>
    <w:rsid w:val="00E3189B"/>
    <w:rPr>
      <w:rFonts w:ascii="Arial" w:cs="Arial" w:eastAsia="Arial" w:hAnsi="Arial"/>
      <w:b w:val="1"/>
      <w:bCs w:val="1"/>
      <w:sz w:val="20"/>
      <w:szCs w:val="20"/>
      <w:lang w:eastAsia="en-GB"/>
    </w:rPr>
  </w:style>
  <w:style w:type="paragraph" w:styleId="BalloonText">
    <w:name w:val="Balloon Text"/>
    <w:basedOn w:val="Normal"/>
    <w:link w:val="BalloonTextChar"/>
    <w:uiPriority w:val="99"/>
    <w:semiHidden w:val="1"/>
    <w:unhideWhenUsed w:val="1"/>
    <w:rsid w:val="00E3189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3189B"/>
    <w:rPr>
      <w:rFonts w:ascii="Times New Roman" w:cs="Times New Roman" w:eastAsia="Arial" w:hAnsi="Times New Roman"/>
      <w:sz w:val="18"/>
      <w:szCs w:val="18"/>
      <w:lang w:eastAsia="en-GB"/>
    </w:rPr>
  </w:style>
  <w:style w:type="paragraph" w:styleId="paragraph" w:customStyle="1">
    <w:name w:val="paragraph"/>
    <w:basedOn w:val="Normal"/>
    <w:rsid w:val="00716428"/>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716428"/>
  </w:style>
  <w:style w:type="paragraph" w:styleId="Header">
    <w:name w:val="header"/>
    <w:basedOn w:val="Normal"/>
    <w:link w:val="HeaderChar"/>
    <w:uiPriority w:val="99"/>
    <w:unhideWhenUsed w:val="1"/>
    <w:rsid w:val="00D85DA7"/>
    <w:pPr>
      <w:tabs>
        <w:tab w:val="center" w:pos="4513"/>
        <w:tab w:val="right" w:pos="9026"/>
      </w:tabs>
      <w:spacing w:line="240" w:lineRule="auto"/>
    </w:pPr>
  </w:style>
  <w:style w:type="character" w:styleId="HeaderChar" w:customStyle="1">
    <w:name w:val="Header Char"/>
    <w:basedOn w:val="DefaultParagraphFont"/>
    <w:link w:val="Header"/>
    <w:uiPriority w:val="99"/>
    <w:rsid w:val="00D85DA7"/>
    <w:rPr>
      <w:rFonts w:ascii="Arial" w:cs="Arial" w:eastAsia="Arial" w:hAnsi="Arial"/>
      <w:sz w:val="22"/>
      <w:szCs w:val="22"/>
      <w:lang w:eastAsia="en-GB"/>
    </w:rPr>
  </w:style>
  <w:style w:type="paragraph" w:styleId="Footer">
    <w:name w:val="footer"/>
    <w:basedOn w:val="Normal"/>
    <w:link w:val="FooterChar"/>
    <w:uiPriority w:val="99"/>
    <w:unhideWhenUsed w:val="1"/>
    <w:rsid w:val="00D85DA7"/>
    <w:pPr>
      <w:tabs>
        <w:tab w:val="center" w:pos="4513"/>
        <w:tab w:val="right" w:pos="9026"/>
      </w:tabs>
      <w:spacing w:line="240" w:lineRule="auto"/>
    </w:pPr>
  </w:style>
  <w:style w:type="character" w:styleId="FooterChar" w:customStyle="1">
    <w:name w:val="Footer Char"/>
    <w:basedOn w:val="DefaultParagraphFont"/>
    <w:link w:val="Footer"/>
    <w:uiPriority w:val="99"/>
    <w:rsid w:val="00D85DA7"/>
    <w:rPr>
      <w:rFonts w:ascii="Arial" w:cs="Arial" w:eastAsia="Arial" w:hAnsi="Arial"/>
      <w:sz w:val="22"/>
      <w:szCs w:val="22"/>
      <w:lang w:eastAsia="en-GB"/>
    </w:rPr>
  </w:style>
  <w:style w:type="table" w:styleId="TableGrid">
    <w:name w:val="Table Grid"/>
    <w:basedOn w:val="TableNormal"/>
    <w:uiPriority w:val="59"/>
    <w:rsid w:val="00674F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uiPriority w:val="34"/>
    <w:locked w:val="1"/>
    <w:rsid w:val="001735E2"/>
    <w:rPr>
      <w:rFonts w:ascii="Arial" w:cs="Arial" w:eastAsia="Arial" w:hAnsi="Arial"/>
      <w:sz w:val="22"/>
      <w:szCs w:val="22"/>
      <w:lang w:eastAsia="en-GB"/>
    </w:rPr>
  </w:style>
  <w:style w:type="character" w:styleId="Heading3Char" w:customStyle="1">
    <w:name w:val="Heading 3 Char"/>
    <w:basedOn w:val="DefaultParagraphFont"/>
    <w:link w:val="Heading3"/>
    <w:uiPriority w:val="9"/>
    <w:semiHidden w:val="1"/>
    <w:rsid w:val="00A66B47"/>
    <w:rPr>
      <w:rFonts w:asciiTheme="majorHAnsi" w:cstheme="majorBidi" w:eastAsiaTheme="majorEastAsia" w:hAnsiTheme="majorHAnsi"/>
      <w:color w:val="1f3763" w:themeColor="accent1" w:themeShade="00007F"/>
      <w:lang w:eastAsia="en-GB"/>
    </w:rPr>
  </w:style>
  <w:style w:type="table" w:styleId="TableGrid1" w:customStyle="1">
    <w:name w:val="Table Grid1"/>
    <w:basedOn w:val="TableNormal"/>
    <w:next w:val="TableGrid"/>
    <w:uiPriority w:val="59"/>
    <w:rsid w:val="005C6147"/>
    <w:pPr>
      <w:pBdr>
        <w:top w:space="0" w:sz="0" w:val="nil"/>
        <w:left w:space="0" w:sz="0" w:val="nil"/>
        <w:bottom w:space="0" w:sz="0" w:val="nil"/>
        <w:right w:space="0" w:sz="0" w:val="nil"/>
        <w:between w:space="0" w:sz="0" w:val="nil"/>
      </w:pBdr>
    </w:pPr>
    <w:rPr>
      <w:color w:val="000000"/>
      <w:lang w:val="e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0"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1"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2"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3"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4"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aso.org.uk/evidence/evaluation-guidance-resources/toc/" TargetMode="External"/><Relationship Id="rId22" Type="http://schemas.openxmlformats.org/officeDocument/2006/relationships/hyperlink" Target="https://taso.org.uk/event/exploring-tasos-new-invitations-to-tender-in-higher-education/" TargetMode="External"/><Relationship Id="rId21" Type="http://schemas.openxmlformats.org/officeDocument/2006/relationships/hyperlink" Target="https://taso.org.uk/invitation-to-tender-institutional-data-use/" TargetMode="External"/><Relationship Id="rId24" Type="http://schemas.openxmlformats.org/officeDocument/2006/relationships/hyperlink" Target="https://taso.org.uk/taso-privacy-notice/" TargetMode="External"/><Relationship Id="rId23" Type="http://schemas.openxmlformats.org/officeDocument/2006/relationships/hyperlink" Target="https://taso.org.uk/taso-privacy-no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so.org.uk/evidence/toolkit/what-is-causal-evidence/" TargetMode="External"/><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what-works-network" TargetMode="External"/><Relationship Id="rId8" Type="http://schemas.openxmlformats.org/officeDocument/2006/relationships/hyperlink" Target="https://www.gov.uk/guidance/what-works-network" TargetMode="External"/><Relationship Id="rId11" Type="http://schemas.openxmlformats.org/officeDocument/2006/relationships/hyperlink" Target="https://taso.org.uk/news-item/report-disabled-students/" TargetMode="External"/><Relationship Id="rId10" Type="http://schemas.openxmlformats.org/officeDocument/2006/relationships/hyperlink" Target="https://taso.org.uk/evidence/toolkit/what-is-causal-evidence/" TargetMode="External"/><Relationship Id="rId13" Type="http://schemas.openxmlformats.org/officeDocument/2006/relationships/hyperlink" Target="https://taso.org.uk/news-item/report-disabled-students/" TargetMode="External"/><Relationship Id="rId12" Type="http://schemas.openxmlformats.org/officeDocument/2006/relationships/hyperlink" Target="https://taso.org.uk/news-item/report-disabled-students/" TargetMode="External"/><Relationship Id="rId15" Type="http://schemas.openxmlformats.org/officeDocument/2006/relationships/hyperlink" Target="https://taso.org.uk/evidence/evaluation-guidance-resources/toc/#:~:text=The%20Enhanced%20ToC%20guidance%20provides,and%20assumptions%20and%20change%20mechanisms." TargetMode="External"/><Relationship Id="rId14" Type="http://schemas.openxmlformats.org/officeDocument/2006/relationships/hyperlink" Target="https://taso.org.uk/get-involved/panelofevaluators/" TargetMode="External"/><Relationship Id="rId17" Type="http://schemas.openxmlformats.org/officeDocument/2006/relationships/hyperlink" Target="https://taso.org.uk/invitation-to-tender-institutional-data-use/" TargetMode="External"/><Relationship Id="rId16" Type="http://schemas.openxmlformats.org/officeDocument/2006/relationships/hyperlink" Target="https://taso.org.uk/evidence/evidence-standards/" TargetMode="External"/><Relationship Id="rId19" Type="http://schemas.openxmlformats.org/officeDocument/2006/relationships/hyperlink" Target="https://taso.org.uk/wp-content/uploads/TASO_ITT_PofE_June-23.docx" TargetMode="External"/><Relationship Id="rId18" Type="http://schemas.openxmlformats.org/officeDocument/2006/relationships/hyperlink" Target="https://taso.org.uk/invitation-to-tender-institutional-data-u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7oGJK3fCH4/Nh/IiBDvVuHb/cA==">CgMxLjAyCGguZ2pkZ3hzMg5oLnY5cGFpdXF2cHZvbTIOaC5haHI2NnR6ZGp3cmEyCWguMzBqMHpsbDgAaiMKFHN1Z2dlc3QuaW02enRlcW5laHFxEgtSb2IgU3VtbWVyc2ojChRzdWdnZXN0LmlxaGY1MXd6aWFncxILUm9iIFN1bW1lcnNqIwoUc3VnZ2VzdC43emZkMGZnNW92aHgSC1JvYiBTdW1tZXJzciExQzg5MnNRVE9VcTgtTlNJRlJiTHlpN3dQdnpsSjdvNlU=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2021-02-01T18:46:00Z</dcterms:created>
  <dc:creator>Rain Sherlock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