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3b66bc"/>
          <w:sz w:val="40"/>
          <w:szCs w:val="40"/>
        </w:rPr>
      </w:pPr>
      <w:bookmarkStart w:colFirst="0" w:colLast="0" w:name="_heading=h.gjdgxs" w:id="0"/>
      <w:bookmarkEnd w:id="0"/>
      <w:r w:rsidDel="00000000" w:rsidR="00000000" w:rsidRPr="00000000">
        <w:rPr>
          <w:b w:val="1"/>
          <w:color w:val="3b66bc"/>
          <w:sz w:val="40"/>
          <w:szCs w:val="40"/>
          <w:rtl w:val="0"/>
        </w:rPr>
        <w:t xml:space="preserve">Open call for higher education providers</w:t>
      </w:r>
      <w:r w:rsidDel="00000000" w:rsidR="00000000" w:rsidRPr="00000000">
        <w:rPr>
          <w:b w:val="1"/>
          <w:color w:val="3b66bc"/>
          <w:sz w:val="40"/>
          <w:szCs w:val="40"/>
          <w:rtl w:val="0"/>
        </w:rPr>
        <w:t xml:space="preserve">: Developing theories of change for w</w:t>
      </w:r>
      <w:r w:rsidDel="00000000" w:rsidR="00000000" w:rsidRPr="00000000">
        <w:rPr>
          <w:b w:val="1"/>
          <w:color w:val="3b66bc"/>
          <w:sz w:val="40"/>
          <w:szCs w:val="40"/>
          <w:rtl w:val="0"/>
        </w:rPr>
        <w:t xml:space="preserve">hole provider approaches</w:t>
      </w:r>
    </w:p>
    <w:p w:rsidR="00000000" w:rsidDel="00000000" w:rsidP="00000000" w:rsidRDefault="00000000" w:rsidRPr="00000000" w14:paraId="00000002">
      <w:pPr>
        <w:rPr>
          <w:color w:val="000000"/>
        </w:rPr>
      </w:pPr>
      <w:r w:rsidDel="00000000" w:rsidR="00000000" w:rsidRPr="00000000">
        <w:rPr>
          <w:rtl w:val="0"/>
        </w:rPr>
        <w:t xml:space="preserve">5th December 2024</w:t>
      </w:r>
      <w:r w:rsidDel="00000000" w:rsidR="00000000" w:rsidRPr="00000000">
        <w:rPr>
          <w:rtl w:val="0"/>
        </w:rPr>
      </w:r>
    </w:p>
    <w:p w:rsidR="00000000" w:rsidDel="00000000" w:rsidP="00000000" w:rsidRDefault="00000000" w:rsidRPr="00000000" w14:paraId="00000003">
      <w:pPr>
        <w:rPr>
          <w:b w:val="1"/>
          <w:color w:val="3b66bc"/>
        </w:rPr>
      </w:pPr>
      <w:r w:rsidDel="00000000" w:rsidR="00000000" w:rsidRPr="00000000">
        <w:rPr>
          <w:rtl w:val="0"/>
        </w:rPr>
      </w:r>
    </w:p>
    <w:p w:rsidR="00000000" w:rsidDel="00000000" w:rsidP="00000000" w:rsidRDefault="00000000" w:rsidRPr="00000000" w14:paraId="00000004">
      <w:pPr>
        <w:pStyle w:val="Heading3"/>
        <w:spacing w:before="60" w:lineRule="auto"/>
        <w:ind w:left="0" w:firstLine="0"/>
        <w:rPr>
          <w:rFonts w:ascii="Arial" w:cs="Arial" w:eastAsia="Arial" w:hAnsi="Arial"/>
          <w:b w:val="1"/>
          <w:color w:val="3b66bc"/>
        </w:rPr>
      </w:pPr>
      <w:bookmarkStart w:colFirst="0" w:colLast="0" w:name="_heading=h.4kv8gb5rhhoa" w:id="1"/>
      <w:bookmarkEnd w:id="1"/>
      <w:r w:rsidDel="00000000" w:rsidR="00000000" w:rsidRPr="00000000">
        <w:rPr>
          <w:rFonts w:ascii="Arial" w:cs="Arial" w:eastAsia="Arial" w:hAnsi="Arial"/>
          <w:b w:val="1"/>
          <w:color w:val="3b66bc"/>
          <w:rtl w:val="0"/>
        </w:rPr>
        <w:t xml:space="preserve">Open call for higher education providers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Centre for Transforming Access and Student Outcomes in Higher Education (TASO) is calling for higher education providers (HEPs) to participate in a project to develop a theory of change (ToC) for their whole provider approach to reducing risks to equality of opportunity in higher education.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HEPs will be supported to develop ToCs summarising their whole provider approach, the impact they intend for the approach to have, and the mechanisms by which the impact will be achieved. This project will build on the whole provider approach outlined by HEPs in their most recent Access and Participation Plan (APP), in line with Office for Students (OfS) guidance to include information about a whole provider approach (see </w:t>
      </w:r>
      <w:hyperlink r:id="rId7">
        <w:r w:rsidDel="00000000" w:rsidR="00000000" w:rsidRPr="00000000">
          <w:rPr>
            <w:color w:val="1155cc"/>
            <w:u w:val="single"/>
            <w:rtl w:val="0"/>
          </w:rPr>
          <w:t xml:space="preserve">Regulatory Notice 1 paragraphs 38f, 77-79</w:t>
        </w:r>
      </w:hyperlink>
      <w:r w:rsidDel="00000000" w:rsidR="00000000" w:rsidRPr="00000000">
        <w:rPr>
          <w:rtl w:val="0"/>
        </w:rPr>
        <w:t xml:space="preserve"> and </w:t>
      </w:r>
      <w:hyperlink r:id="rId8">
        <w:r w:rsidDel="00000000" w:rsidR="00000000" w:rsidRPr="00000000">
          <w:rPr>
            <w:color w:val="1155cc"/>
            <w:u w:val="single"/>
            <w:rtl w:val="0"/>
          </w:rPr>
          <w:t xml:space="preserve">Regulatory Guidance 6 paragraphs 163-168</w:t>
        </w:r>
      </w:hyperlink>
      <w:r w:rsidDel="00000000" w:rsidR="00000000" w:rsidRPr="00000000">
        <w:rPr>
          <w:rtl w:val="0"/>
        </w:rPr>
        <w:t xml:space="preserve">). TASO is pleased to be collaborating with Professor </w:t>
      </w:r>
      <w:r w:rsidDel="00000000" w:rsidR="00000000" w:rsidRPr="00000000">
        <w:rPr>
          <w:rtl w:val="0"/>
        </w:rPr>
        <w:t xml:space="preserve">Liz Thomas</w:t>
      </w:r>
      <w:r w:rsidDel="00000000" w:rsidR="00000000" w:rsidRPr="00000000">
        <w:rPr>
          <w:rtl w:val="0"/>
        </w:rPr>
        <w:t xml:space="preserve">, an expert on whole provider approaches, to deliver this project.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TASO will publish the whole provider approach ToCs as case studies for the sector to refer to. It is an opportunity for participating HEPs to build internal evaluation expertise specifically in relation to designing high-quality ToCs, and contribute towards TASO’s ambition to support clearer conceptualisation and better evaluation of whole provider approaches.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project will run from 27th January - 30th April </w:t>
      </w:r>
      <w:r w:rsidDel="00000000" w:rsidR="00000000" w:rsidRPr="00000000">
        <w:rPr>
          <w:rtl w:val="0"/>
        </w:rPr>
        <w:t xml:space="preserve">2025</w:t>
      </w:r>
      <w:r w:rsidDel="00000000" w:rsidR="00000000" w:rsidRPr="00000000">
        <w:rPr>
          <w:rtl w:val="0"/>
        </w:rPr>
        <w:t xml:space="preserve">.</w:t>
      </w:r>
    </w:p>
    <w:p w:rsidR="00000000" w:rsidDel="00000000" w:rsidP="00000000" w:rsidRDefault="00000000" w:rsidRPr="00000000" w14:paraId="0000000D">
      <w:pPr>
        <w:rPr>
          <w:highlight w:val="yellow"/>
        </w:rPr>
      </w:pPr>
      <w:r w:rsidDel="00000000" w:rsidR="00000000" w:rsidRPr="00000000">
        <w:rPr>
          <w:rtl w:val="0"/>
        </w:rPr>
      </w:r>
    </w:p>
    <w:p w:rsidR="00000000" w:rsidDel="00000000" w:rsidP="00000000" w:rsidRDefault="00000000" w:rsidRPr="00000000" w14:paraId="0000000E">
      <w:pPr>
        <w:pStyle w:val="Heading3"/>
        <w:spacing w:before="60" w:lineRule="auto"/>
        <w:ind w:left="0" w:firstLine="0"/>
        <w:rPr>
          <w:rFonts w:ascii="Arial" w:cs="Arial" w:eastAsia="Arial" w:hAnsi="Arial"/>
          <w:b w:val="1"/>
          <w:color w:val="3b66bc"/>
        </w:rPr>
      </w:pPr>
      <w:bookmarkStart w:colFirst="0" w:colLast="0" w:name="_heading=h.ksjh08juxc80" w:id="2"/>
      <w:bookmarkEnd w:id="2"/>
      <w:r w:rsidDel="00000000" w:rsidR="00000000" w:rsidRPr="00000000">
        <w:rPr>
          <w:rFonts w:ascii="Arial" w:cs="Arial" w:eastAsia="Arial" w:hAnsi="Arial"/>
          <w:b w:val="1"/>
          <w:color w:val="3b66bc"/>
          <w:rtl w:val="0"/>
        </w:rPr>
        <w:t xml:space="preserve">Introduction to TASO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00" w:lineRule="auto"/>
        <w:rPr>
          <w:color w:val="0e101a"/>
        </w:rPr>
      </w:pPr>
      <w:r w:rsidDel="00000000" w:rsidR="00000000" w:rsidRPr="00000000">
        <w:rPr>
          <w:color w:val="0e101a"/>
          <w:rtl w:val="0"/>
        </w:rPr>
        <w:t xml:space="preserve">TASO aims to improve lives through evidence-based practice in HE. Our vision is to eliminate equality gaps for disadvantaged and underrepresented groups, allowing all students to have the same chance to enter HE, get a good degree and progress into further study or employment.</w:t>
      </w:r>
    </w:p>
    <w:p w:rsidR="00000000" w:rsidDel="00000000" w:rsidP="00000000" w:rsidRDefault="00000000" w:rsidRPr="00000000" w14:paraId="00000011">
      <w:pPr>
        <w:spacing w:after="200" w:before="240" w:lineRule="auto"/>
        <w:rPr>
          <w:rFonts w:ascii="Arial" w:cs="Arial" w:eastAsia="Arial" w:hAnsi="Arial"/>
          <w:b w:val="1"/>
          <w:color w:val="3b66bc"/>
        </w:rPr>
      </w:pPr>
      <w:r w:rsidDel="00000000" w:rsidR="00000000" w:rsidRPr="00000000">
        <w:rPr>
          <w:color w:val="0e101a"/>
          <w:rtl w:val="0"/>
        </w:rPr>
        <w:t xml:space="preserve">TASO is an affiliate ‘What Works’ centre and is part of the</w:t>
      </w:r>
      <w:hyperlink r:id="rId9">
        <w:r w:rsidDel="00000000" w:rsidR="00000000" w:rsidRPr="00000000">
          <w:rPr>
            <w:color w:val="0e101a"/>
            <w:rtl w:val="0"/>
          </w:rPr>
          <w:t xml:space="preserve"> </w:t>
        </w:r>
      </w:hyperlink>
      <w:hyperlink r:id="rId10">
        <w:r w:rsidDel="00000000" w:rsidR="00000000" w:rsidRPr="00000000">
          <w:rPr>
            <w:color w:val="0563c1"/>
            <w:u w:val="single"/>
            <w:rtl w:val="0"/>
          </w:rPr>
          <w:t xml:space="preserve">UK Government’s What Works Movement</w:t>
        </w:r>
      </w:hyperlink>
      <w:r w:rsidDel="00000000" w:rsidR="00000000" w:rsidRPr="00000000">
        <w:rPr>
          <w:color w:val="0e101a"/>
          <w:rtl w:val="0"/>
        </w:rPr>
        <w:t xml:space="preserve">. This means that TASO is committed to the generation, synthesis and dissemination of high-quality evidence about effective practice in widening participation and student success. Our role is to help the sector produce more</w:t>
      </w:r>
      <w:hyperlink r:id="rId11">
        <w:r w:rsidDel="00000000" w:rsidR="00000000" w:rsidRPr="00000000">
          <w:rPr>
            <w:color w:val="0e101a"/>
            <w:rtl w:val="0"/>
          </w:rPr>
          <w:t xml:space="preserve"> </w:t>
        </w:r>
      </w:hyperlink>
      <w:hyperlink r:id="rId12">
        <w:r w:rsidDel="00000000" w:rsidR="00000000" w:rsidRPr="00000000">
          <w:rPr>
            <w:color w:val="0563c1"/>
            <w:u w:val="single"/>
            <w:rtl w:val="0"/>
          </w:rPr>
          <w:t xml:space="preserve">Type 3 evidence</w:t>
        </w:r>
      </w:hyperlink>
      <w:r w:rsidDel="00000000" w:rsidR="00000000" w:rsidRPr="00000000">
        <w:rPr>
          <w:color w:val="0e101a"/>
          <w:rtl w:val="0"/>
        </w:rPr>
        <w:t xml:space="preserve"> as this provides us with the best possible understanding of which activities and approaches are most effective.</w:t>
      </w:r>
      <w:r w:rsidDel="00000000" w:rsidR="00000000" w:rsidRPr="00000000">
        <w:rPr>
          <w:rtl w:val="0"/>
        </w:rPr>
        <w:br w:type="textWrapping"/>
        <w:br w:type="textWrapping"/>
      </w:r>
      <w:r w:rsidDel="00000000" w:rsidR="00000000" w:rsidRPr="00000000">
        <w:rPr>
          <w:rtl w:val="0"/>
        </w:rPr>
      </w:r>
    </w:p>
    <w:p w:rsidR="00000000" w:rsidDel="00000000" w:rsidP="00000000" w:rsidRDefault="00000000" w:rsidRPr="00000000" w14:paraId="00000012">
      <w:pPr>
        <w:pStyle w:val="Heading3"/>
        <w:spacing w:before="60" w:lineRule="auto"/>
        <w:ind w:left="0" w:firstLine="0"/>
        <w:rPr>
          <w:rFonts w:ascii="Arial" w:cs="Arial" w:eastAsia="Arial" w:hAnsi="Arial"/>
          <w:b w:val="1"/>
          <w:color w:val="3b66bc"/>
        </w:rPr>
      </w:pPr>
      <w:bookmarkStart w:colFirst="0" w:colLast="0" w:name="_heading=h.95inhewe9qeb" w:id="3"/>
      <w:bookmarkEnd w:id="3"/>
      <w:r w:rsidDel="00000000" w:rsidR="00000000" w:rsidRPr="00000000">
        <w:rPr>
          <w:rFonts w:ascii="Arial" w:cs="Arial" w:eastAsia="Arial" w:hAnsi="Arial"/>
          <w:b w:val="1"/>
          <w:color w:val="3b66bc"/>
          <w:rtl w:val="0"/>
        </w:rPr>
        <w:t xml:space="preserve">Project background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276" w:lineRule="auto"/>
        <w:ind w:left="0" w:firstLine="0"/>
        <w:rPr/>
      </w:pPr>
      <w:r w:rsidDel="00000000" w:rsidR="00000000" w:rsidRPr="00000000">
        <w:rPr>
          <w:rtl w:val="0"/>
        </w:rPr>
        <w:t xml:space="preserve">In the latest APP cycle, HEPs were advised by the OfS to include information about their whole provider approach to reducing risks to equality of opportunity in higher education. OfS guidance defines the whole provider approach as “a description of how staff from departments and services across the provider are led and engaged to ensure that its students are supported to access, succeed in and progress from their time at the provider”. A whole provider approach “is one in which there is alignment and consistency across the organisation to create an approach from which all students benefit, irrespective of where they are located within the provider”. More detail on the OfS’ definition of the whole provider approach can be found in </w:t>
      </w:r>
      <w:hyperlink r:id="rId13">
        <w:r w:rsidDel="00000000" w:rsidR="00000000" w:rsidRPr="00000000">
          <w:rPr>
            <w:color w:val="1155cc"/>
            <w:u w:val="single"/>
            <w:rtl w:val="0"/>
          </w:rPr>
          <w:t xml:space="preserve">Regulatory Notice 1: Access and Participation Plan Guidance, paragraphs 38f, 77-79</w:t>
        </w:r>
      </w:hyperlink>
      <w:r w:rsidDel="00000000" w:rsidR="00000000" w:rsidRPr="00000000">
        <w:rPr>
          <w:rtl w:val="0"/>
        </w:rPr>
        <w:t xml:space="preserve"> and </w:t>
      </w:r>
      <w:hyperlink r:id="rId14">
        <w:r w:rsidDel="00000000" w:rsidR="00000000" w:rsidRPr="00000000">
          <w:rPr>
            <w:color w:val="1155cc"/>
            <w:u w:val="single"/>
            <w:rtl w:val="0"/>
          </w:rPr>
          <w:t xml:space="preserve">Regulatory Advice 6: How to prepare an Access and Participation Plan, paragraphs 163-168</w:t>
        </w:r>
      </w:hyperlink>
      <w:r w:rsidDel="00000000" w:rsidR="00000000" w:rsidRPr="00000000">
        <w:rPr>
          <w:rtl w:val="0"/>
        </w:rPr>
        <w:t xml:space="preserve">. </w:t>
      </w:r>
    </w:p>
    <w:p w:rsidR="00000000" w:rsidDel="00000000" w:rsidP="00000000" w:rsidRDefault="00000000" w:rsidRPr="00000000" w14:paraId="00000015">
      <w:pPr>
        <w:spacing w:line="259" w:lineRule="auto"/>
        <w:ind w:left="0" w:firstLine="0"/>
        <w:rPr/>
      </w:pPr>
      <w:r w:rsidDel="00000000" w:rsidR="00000000" w:rsidRPr="00000000">
        <w:rPr>
          <w:rtl w:val="0"/>
        </w:rPr>
      </w:r>
    </w:p>
    <w:p w:rsidR="00000000" w:rsidDel="00000000" w:rsidP="00000000" w:rsidRDefault="00000000" w:rsidRPr="00000000" w14:paraId="00000016">
      <w:pPr>
        <w:spacing w:line="259" w:lineRule="auto"/>
        <w:ind w:left="0" w:firstLine="0"/>
        <w:rPr/>
      </w:pPr>
      <w:r w:rsidDel="00000000" w:rsidR="00000000" w:rsidRPr="00000000">
        <w:rPr>
          <w:rtl w:val="0"/>
        </w:rPr>
        <w:t xml:space="preserve">To support HEPs to develop their whole provider approach for their APPs, Liz Thomas at The Centre for Research on Education and Social Justice</w:t>
      </w:r>
      <w:r w:rsidDel="00000000" w:rsidR="00000000" w:rsidRPr="00000000">
        <w:rPr>
          <w:rtl w:val="0"/>
        </w:rPr>
        <w:t xml:space="preserve"> at the University of York</w:t>
      </w:r>
      <w:r w:rsidDel="00000000" w:rsidR="00000000" w:rsidRPr="00000000">
        <w:rPr>
          <w:rtl w:val="0"/>
        </w:rPr>
        <w:t xml:space="preserve"> published a </w:t>
      </w:r>
      <w:hyperlink r:id="rId15">
        <w:r w:rsidDel="00000000" w:rsidR="00000000" w:rsidRPr="00000000">
          <w:rPr>
            <w:color w:val="1155cc"/>
            <w:u w:val="single"/>
            <w:rtl w:val="0"/>
          </w:rPr>
          <w:t xml:space="preserve">toolkit</w:t>
        </w:r>
      </w:hyperlink>
      <w:r w:rsidDel="00000000" w:rsidR="00000000" w:rsidRPr="00000000">
        <w:rPr>
          <w:rtl w:val="0"/>
        </w:rPr>
        <w:t xml:space="preserve"> in May 2024, including the following resources:</w:t>
      </w:r>
    </w:p>
    <w:p w:rsidR="00000000" w:rsidDel="00000000" w:rsidP="00000000" w:rsidRDefault="00000000" w:rsidRPr="00000000" w14:paraId="00000017">
      <w:pPr>
        <w:numPr>
          <w:ilvl w:val="0"/>
          <w:numId w:val="8"/>
        </w:numPr>
        <w:spacing w:line="259" w:lineRule="auto"/>
        <w:ind w:left="720" w:hanging="360"/>
        <w:rPr>
          <w:u w:val="none"/>
        </w:rPr>
      </w:pPr>
      <w:r w:rsidDel="00000000" w:rsidR="00000000" w:rsidRPr="00000000">
        <w:rPr>
          <w:rtl w:val="0"/>
        </w:rPr>
        <w:t xml:space="preserve">Guidance for self-assessing a HEP’s current whole provider approach </w:t>
      </w:r>
    </w:p>
    <w:p w:rsidR="00000000" w:rsidDel="00000000" w:rsidP="00000000" w:rsidRDefault="00000000" w:rsidRPr="00000000" w14:paraId="00000018">
      <w:pPr>
        <w:numPr>
          <w:ilvl w:val="0"/>
          <w:numId w:val="8"/>
        </w:numPr>
        <w:spacing w:line="259" w:lineRule="auto"/>
        <w:ind w:left="720" w:hanging="360"/>
        <w:rPr>
          <w:u w:val="none"/>
        </w:rPr>
      </w:pPr>
      <w:r w:rsidDel="00000000" w:rsidR="00000000" w:rsidRPr="00000000">
        <w:rPr>
          <w:rtl w:val="0"/>
        </w:rPr>
        <w:t xml:space="preserve">Tools to map and review the student experience and enabling environment within a HEP, which form part of the whole provider approach</w:t>
      </w:r>
    </w:p>
    <w:p w:rsidR="00000000" w:rsidDel="00000000" w:rsidP="00000000" w:rsidRDefault="00000000" w:rsidRPr="00000000" w14:paraId="00000019">
      <w:pPr>
        <w:numPr>
          <w:ilvl w:val="0"/>
          <w:numId w:val="8"/>
        </w:numPr>
        <w:spacing w:line="259" w:lineRule="auto"/>
        <w:ind w:left="720" w:hanging="360"/>
        <w:rPr>
          <w:u w:val="none"/>
        </w:rPr>
      </w:pPr>
      <w:r w:rsidDel="00000000" w:rsidR="00000000" w:rsidRPr="00000000">
        <w:rPr>
          <w:rtl w:val="0"/>
        </w:rPr>
        <w:t xml:space="preserve">Whole provider approach APP section template</w:t>
      </w:r>
    </w:p>
    <w:p w:rsidR="00000000" w:rsidDel="00000000" w:rsidP="00000000" w:rsidRDefault="00000000" w:rsidRPr="00000000" w14:paraId="0000001A">
      <w:pPr>
        <w:numPr>
          <w:ilvl w:val="0"/>
          <w:numId w:val="8"/>
        </w:numPr>
        <w:spacing w:line="259" w:lineRule="auto"/>
        <w:ind w:left="720" w:hanging="360"/>
        <w:rPr>
          <w:u w:val="none"/>
        </w:rPr>
      </w:pPr>
      <w:r w:rsidDel="00000000" w:rsidR="00000000" w:rsidRPr="00000000">
        <w:rPr>
          <w:rtl w:val="0"/>
        </w:rPr>
        <w:t xml:space="preserve">ToC template for interventions included in the whole provider </w:t>
      </w:r>
      <w:r w:rsidDel="00000000" w:rsidR="00000000" w:rsidRPr="00000000">
        <w:rPr>
          <w:rtl w:val="0"/>
        </w:rPr>
        <w:t xml:space="preserve">approach</w:t>
      </w:r>
      <w:r w:rsidDel="00000000" w:rsidR="00000000" w:rsidRPr="00000000">
        <w:rPr>
          <w:rtl w:val="0"/>
        </w:rPr>
        <w:t xml:space="preserve">. </w:t>
      </w:r>
    </w:p>
    <w:p w:rsidR="00000000" w:rsidDel="00000000" w:rsidP="00000000" w:rsidRDefault="00000000" w:rsidRPr="00000000" w14:paraId="0000001B">
      <w:pPr>
        <w:spacing w:line="259" w:lineRule="auto"/>
        <w:rPr/>
      </w:pPr>
      <w:r w:rsidDel="00000000" w:rsidR="00000000" w:rsidRPr="00000000">
        <w:rPr>
          <w:rtl w:val="0"/>
        </w:rPr>
        <w:t xml:space="preserve">The development of the ToCs will be informed by this guidance. </w:t>
      </w:r>
    </w:p>
    <w:p w:rsidR="00000000" w:rsidDel="00000000" w:rsidP="00000000" w:rsidRDefault="00000000" w:rsidRPr="00000000" w14:paraId="0000001C">
      <w:pPr>
        <w:spacing w:line="259" w:lineRule="auto"/>
        <w:ind w:left="0" w:firstLine="0"/>
        <w:rPr/>
      </w:pPr>
      <w:r w:rsidDel="00000000" w:rsidR="00000000" w:rsidRPr="00000000">
        <w:rPr>
          <w:rtl w:val="0"/>
        </w:rPr>
      </w:r>
    </w:p>
    <w:p w:rsidR="00000000" w:rsidDel="00000000" w:rsidP="00000000" w:rsidRDefault="00000000" w:rsidRPr="00000000" w14:paraId="0000001D">
      <w:pPr>
        <w:spacing w:line="259" w:lineRule="auto"/>
        <w:ind w:left="0" w:firstLine="0"/>
        <w:rPr/>
      </w:pPr>
      <w:r w:rsidDel="00000000" w:rsidR="00000000" w:rsidRPr="00000000">
        <w:rPr>
          <w:rtl w:val="0"/>
        </w:rPr>
        <w:t xml:space="preserve">At TASO, we recognise that there is variation in how HEPs have conceptualised and developed their whole provider approach. Whole provider approaches are likely to include a range of different activities and priorities depending on the nature of the HEP. We therefore anticipate that not all HEPs will have a fully formed whole provider approach, and are interested in exploring any </w:t>
      </w:r>
      <w:r w:rsidDel="00000000" w:rsidR="00000000" w:rsidRPr="00000000">
        <w:rPr>
          <w:rtl w:val="0"/>
        </w:rPr>
        <w:t xml:space="preserve">changes being implemented to leadership, structure, culture and data, evaluation and accountability processes</w:t>
      </w:r>
      <w:r w:rsidDel="00000000" w:rsidR="00000000" w:rsidRPr="00000000">
        <w:rPr>
          <w:rtl w:val="0"/>
        </w:rPr>
        <w:t xml:space="preserve">. This project aims to work with a small sample of six HEPs to develop ToCs for their whole provider approaches, to better understand:</w:t>
      </w:r>
    </w:p>
    <w:p w:rsidR="00000000" w:rsidDel="00000000" w:rsidP="00000000" w:rsidRDefault="00000000" w:rsidRPr="00000000" w14:paraId="0000001E">
      <w:pPr>
        <w:numPr>
          <w:ilvl w:val="0"/>
          <w:numId w:val="9"/>
        </w:numPr>
        <w:spacing w:line="259" w:lineRule="auto"/>
        <w:ind w:left="720" w:hanging="360"/>
        <w:rPr>
          <w:u w:val="none"/>
        </w:rPr>
      </w:pPr>
      <w:r w:rsidDel="00000000" w:rsidR="00000000" w:rsidRPr="00000000">
        <w:rPr>
          <w:rtl w:val="0"/>
        </w:rPr>
        <w:t xml:space="preserve">The process by which HEPs developed their whole provider approach</w:t>
      </w:r>
    </w:p>
    <w:p w:rsidR="00000000" w:rsidDel="00000000" w:rsidP="00000000" w:rsidRDefault="00000000" w:rsidRPr="00000000" w14:paraId="0000001F">
      <w:pPr>
        <w:numPr>
          <w:ilvl w:val="0"/>
          <w:numId w:val="9"/>
        </w:numPr>
        <w:spacing w:line="259" w:lineRule="auto"/>
        <w:ind w:left="720" w:hanging="360"/>
        <w:rPr/>
      </w:pPr>
      <w:r w:rsidDel="00000000" w:rsidR="00000000" w:rsidRPr="00000000">
        <w:rPr>
          <w:rtl w:val="0"/>
        </w:rPr>
        <w:t xml:space="preserve">What activities and priorities the whole provider approach is focused on at this point in time</w:t>
      </w:r>
    </w:p>
    <w:p w:rsidR="00000000" w:rsidDel="00000000" w:rsidP="00000000" w:rsidRDefault="00000000" w:rsidRPr="00000000" w14:paraId="00000020">
      <w:pPr>
        <w:numPr>
          <w:ilvl w:val="0"/>
          <w:numId w:val="9"/>
        </w:numPr>
        <w:spacing w:line="259" w:lineRule="auto"/>
        <w:ind w:left="720" w:hanging="360"/>
        <w:rPr>
          <w:u w:val="none"/>
        </w:rPr>
      </w:pPr>
      <w:r w:rsidDel="00000000" w:rsidR="00000000" w:rsidRPr="00000000">
        <w:rPr>
          <w:rtl w:val="0"/>
        </w:rPr>
        <w:t xml:space="preserve">The impact HEPs intend for their whole provider approach to have </w:t>
      </w:r>
    </w:p>
    <w:p w:rsidR="00000000" w:rsidDel="00000000" w:rsidP="00000000" w:rsidRDefault="00000000" w:rsidRPr="00000000" w14:paraId="00000021">
      <w:pPr>
        <w:numPr>
          <w:ilvl w:val="0"/>
          <w:numId w:val="9"/>
        </w:numPr>
        <w:spacing w:line="259" w:lineRule="auto"/>
        <w:ind w:left="720" w:hanging="360"/>
        <w:rPr>
          <w:u w:val="none"/>
        </w:rPr>
      </w:pPr>
      <w:r w:rsidDel="00000000" w:rsidR="00000000" w:rsidRPr="00000000">
        <w:rPr>
          <w:rtl w:val="0"/>
        </w:rPr>
        <w:t xml:space="preserve">The mechanisms by which the whole provider approach will lead to the intended impact </w:t>
      </w:r>
    </w:p>
    <w:p w:rsidR="00000000" w:rsidDel="00000000" w:rsidP="00000000" w:rsidRDefault="00000000" w:rsidRPr="00000000" w14:paraId="00000022">
      <w:pPr>
        <w:numPr>
          <w:ilvl w:val="0"/>
          <w:numId w:val="9"/>
        </w:numPr>
        <w:spacing w:line="259" w:lineRule="auto"/>
        <w:ind w:left="720" w:hanging="360"/>
        <w:rPr>
          <w:u w:val="none"/>
        </w:rPr>
      </w:pPr>
      <w:r w:rsidDel="00000000" w:rsidR="00000000" w:rsidRPr="00000000">
        <w:rPr>
          <w:rtl w:val="0"/>
        </w:rPr>
        <w:t xml:space="preserve">How whole provider approaches can improve equality of opportunity.</w:t>
      </w:r>
    </w:p>
    <w:p w:rsidR="00000000" w:rsidDel="00000000" w:rsidP="00000000" w:rsidRDefault="00000000" w:rsidRPr="00000000" w14:paraId="00000023">
      <w:pPr>
        <w:spacing w:line="259" w:lineRule="auto"/>
        <w:ind w:left="0" w:firstLine="0"/>
        <w:rPr/>
      </w:pPr>
      <w:r w:rsidDel="00000000" w:rsidR="00000000" w:rsidRPr="00000000">
        <w:rPr>
          <w:rtl w:val="0"/>
        </w:rPr>
      </w:r>
    </w:p>
    <w:p w:rsidR="00000000" w:rsidDel="00000000" w:rsidP="00000000" w:rsidRDefault="00000000" w:rsidRPr="00000000" w14:paraId="00000024">
      <w:pPr>
        <w:spacing w:line="259" w:lineRule="auto"/>
        <w:ind w:left="0" w:firstLine="0"/>
        <w:rPr>
          <w:b w:val="1"/>
          <w:color w:val="3b66bc"/>
          <w:sz w:val="24"/>
          <w:szCs w:val="24"/>
        </w:rPr>
      </w:pPr>
      <w:r w:rsidDel="00000000" w:rsidR="00000000" w:rsidRPr="00000000">
        <w:rPr>
          <w:b w:val="1"/>
          <w:color w:val="3b66bc"/>
          <w:sz w:val="24"/>
          <w:szCs w:val="24"/>
          <w:rtl w:val="0"/>
        </w:rPr>
        <w:t xml:space="preserve">Project scope</w:t>
      </w:r>
    </w:p>
    <w:p w:rsidR="00000000" w:rsidDel="00000000" w:rsidP="00000000" w:rsidRDefault="00000000" w:rsidRPr="00000000" w14:paraId="00000025">
      <w:pPr>
        <w:rPr>
          <w:b w:val="1"/>
          <w:color w:val="3b66bc"/>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TASO will select six HEPs to develop a ToC for their whole provider approach. </w:t>
      </w:r>
      <w:r w:rsidDel="00000000" w:rsidR="00000000" w:rsidRPr="00000000">
        <w:rPr>
          <w:rtl w:val="0"/>
        </w:rPr>
        <w:t xml:space="preserve">Three HEPs will be allocated to work with the TASO team and three will be allocated to work with Professor Liz Thomas to develop a ToC, building on her previous work on whole provider approaches.</w:t>
      </w:r>
      <w:r w:rsidDel="00000000" w:rsidR="00000000" w:rsidRPr="00000000">
        <w:rPr>
          <w:rtl w:val="0"/>
        </w:rPr>
        <w:t xml:space="preserve"> The ToC development process will draw on The Centre for Research on Education and Social Justice’s </w:t>
      </w:r>
      <w:hyperlink r:id="rId16">
        <w:r w:rsidDel="00000000" w:rsidR="00000000" w:rsidRPr="00000000">
          <w:rPr>
            <w:color w:val="1155cc"/>
            <w:u w:val="single"/>
            <w:rtl w:val="0"/>
          </w:rPr>
          <w:t xml:space="preserve">whole provider approach toolkit</w:t>
        </w:r>
      </w:hyperlink>
      <w:r w:rsidDel="00000000" w:rsidR="00000000" w:rsidRPr="00000000">
        <w:rPr>
          <w:rtl w:val="0"/>
        </w:rPr>
        <w:t xml:space="preserve"> and </w:t>
      </w:r>
      <w:hyperlink r:id="rId17">
        <w:r w:rsidDel="00000000" w:rsidR="00000000" w:rsidRPr="00000000">
          <w:rPr>
            <w:color w:val="1155cc"/>
            <w:u w:val="single"/>
            <w:rtl w:val="0"/>
          </w:rPr>
          <w:t xml:space="preserve">TASO’s ToC </w:t>
        </w:r>
      </w:hyperlink>
      <w:hyperlink r:id="rId18">
        <w:r w:rsidDel="00000000" w:rsidR="00000000" w:rsidRPr="00000000">
          <w:rPr>
            <w:color w:val="1155cc"/>
            <w:u w:val="single"/>
            <w:rtl w:val="0"/>
          </w:rPr>
          <w:t xml:space="preserve">template</w:t>
        </w:r>
      </w:hyperlink>
      <w:hyperlink r:id="rId19">
        <w:r w:rsidDel="00000000" w:rsidR="00000000" w:rsidRPr="00000000">
          <w:rPr>
            <w:color w:val="1155cc"/>
            <w:u w:val="single"/>
            <w:rtl w:val="0"/>
          </w:rPr>
          <w:t xml:space="preserve">s</w:t>
        </w:r>
      </w:hyperlink>
      <w:r w:rsidDel="00000000" w:rsidR="00000000" w:rsidRPr="00000000">
        <w:rPr>
          <w:rtl w:val="0"/>
        </w:rPr>
        <w:t xml:space="preserve">. </w:t>
      </w:r>
      <w:r w:rsidDel="00000000" w:rsidR="00000000" w:rsidRPr="00000000">
        <w:rPr>
          <w:rtl w:val="0"/>
        </w:rPr>
        <w:t xml:space="preserve">Once developed, these ToCs will be published and accessible for the wider sector to use. TASO will also publish a report outlining the process of creating the ToCs and recommendations for the sector, with HEPs contributing their </w:t>
      </w:r>
      <w:r w:rsidDel="00000000" w:rsidR="00000000" w:rsidRPr="00000000">
        <w:rPr>
          <w:rtl w:val="0"/>
        </w:rPr>
        <w:t xml:space="preserve">reflections</w:t>
      </w: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ToCs will be created through a series of meetings and workshops involving appropriate stakeholders from each HEP to gather the necessary information to create a ToC. The aim of the ToCs is not just to describe the interventions taking place across the HEP as part of their whole provider approach, but to identify the outcomes and impacts the approach as a whole aims to achieve, and the mechanisms by which the HEP’s activities will contribute to this aim.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Participating HEPs </w:t>
      </w:r>
      <w:r w:rsidDel="00000000" w:rsidR="00000000" w:rsidRPr="00000000">
        <w:rPr>
          <w:rtl w:val="0"/>
        </w:rPr>
        <w:t xml:space="preserve">must have previously outlined their whole provider approach as part of their APP</w:t>
      </w:r>
      <w:r w:rsidDel="00000000" w:rsidR="00000000" w:rsidRPr="00000000">
        <w:rPr>
          <w:rtl w:val="0"/>
        </w:rPr>
        <w:t xml:space="preserve"> and provide this information to TASO in their application. The whole provider approach should consider the following key features, as specified in </w:t>
      </w:r>
      <w:hyperlink r:id="rId20">
        <w:r w:rsidDel="00000000" w:rsidR="00000000" w:rsidRPr="00000000">
          <w:rPr>
            <w:color w:val="1155cc"/>
            <w:u w:val="single"/>
            <w:rtl w:val="0"/>
          </w:rPr>
          <w:t xml:space="preserve">OfS Regulatory Notice 6</w:t>
        </w:r>
      </w:hyperlink>
      <w:r w:rsidDel="00000000" w:rsidR="00000000" w:rsidRPr="00000000">
        <w:rPr>
          <w:rtl w:val="0"/>
        </w:rPr>
        <w:t xml:space="preserve"> (paragraph 165):</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Staff from across the provider are actively involved and engaged, with access and participation valued as integral to their roles. </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Students representing the breadth of the student population, particularly those from hard-to-reach groups, are engaged in formulating, supporting and evaluating access and participation across the provider. </w:t>
      </w:r>
    </w:p>
    <w:p w:rsidR="00000000" w:rsidDel="00000000" w:rsidP="00000000" w:rsidRDefault="00000000" w:rsidRPr="00000000" w14:paraId="0000002D">
      <w:pPr>
        <w:numPr>
          <w:ilvl w:val="0"/>
          <w:numId w:val="5"/>
        </w:numPr>
        <w:ind w:left="720" w:hanging="360"/>
        <w:rPr>
          <w:u w:val="none"/>
        </w:rPr>
      </w:pPr>
      <w:r w:rsidDel="00000000" w:rsidR="00000000" w:rsidRPr="00000000">
        <w:rPr>
          <w:rtl w:val="0"/>
        </w:rPr>
        <w:t xml:space="preserve">A full student lifecycle approach is adopted, where support is extended from pre-entry, to on-course success and through to post-graduation progression. In many cases this starts with supporting potential learners from primary age upwards, and includes preentry outreach, including with those looking to upskill or reskill, admissions, transition, learning and teaching, student engagement and support and access to postgraduate study and/or employment. </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A clear organisational-wide commitment, including leadership from senior management and governing bodies, to access and participation. This commitment is backed up with clearly defined target groups and expected outcomes that are shaped by evidence and aligned with other strategies, for example those relating to equality, diversity and inclusion; learning and teaching; and business and community engagement. </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Consideration of how the plan aligns with any learning, teaching and assessment approaches, in order to develop more inclusive curricula and practice to ensure that students from all backgrounds are engaged and supported to succeed.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level of detail included in the HEP’s APP and the amount of strategic thinking previously applied to the whole provider approach will impact the level of detail TASO is able to include in the ToC outputs, therefore participating HEPs may end up with slightly different final ToCs.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Expectations for participating HEPs</w:t>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TASO will select six HEPs to create ToCs with. </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Of the successful HEPs, three will be allocated to work with TASO and three will be allocated to work with Professor Liz Thomas to develop a ToC for their whole provider approach. </w:t>
      </w:r>
      <w:r w:rsidDel="00000000" w:rsidR="00000000" w:rsidRPr="00000000">
        <w:rPr>
          <w:rtl w:val="0"/>
        </w:rPr>
      </w:r>
    </w:p>
    <w:p w:rsidR="00000000" w:rsidDel="00000000" w:rsidP="00000000" w:rsidRDefault="00000000" w:rsidRPr="00000000" w14:paraId="00000036">
      <w:pPr>
        <w:numPr>
          <w:ilvl w:val="0"/>
          <w:numId w:val="4"/>
        </w:numPr>
        <w:ind w:left="720" w:hanging="360"/>
      </w:pPr>
      <w:r w:rsidDel="00000000" w:rsidR="00000000" w:rsidRPr="00000000">
        <w:rPr>
          <w:rtl w:val="0"/>
        </w:rPr>
        <w:t xml:space="preserve">ToC workshops will take place in February-March 2025.</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Successful HEPs will be expected to commit time and resourcing to the ToC development, including through meetings, workshops and reviewing of outputs. Table 1 details how project activities and responsibilities will be split across the organisations involved in the project. </w:t>
      </w:r>
    </w:p>
    <w:p w:rsidR="00000000" w:rsidDel="00000000" w:rsidP="00000000" w:rsidRDefault="00000000" w:rsidRPr="00000000" w14:paraId="00000038">
      <w:pPr>
        <w:rPr/>
      </w:pPr>
      <w:r w:rsidDel="00000000" w:rsidR="00000000" w:rsidRPr="00000000">
        <w:rPr>
          <w:rtl w:val="0"/>
        </w:rPr>
      </w:r>
    </w:p>
    <w:bookmarkStart w:colFirst="0" w:colLast="0" w:name="bookmark=kix.broz6owjay4a" w:id="4"/>
    <w:bookmarkEnd w:id="4"/>
    <w:p w:rsidR="00000000" w:rsidDel="00000000" w:rsidP="00000000" w:rsidRDefault="00000000" w:rsidRPr="00000000" w14:paraId="00000039">
      <w:pPr>
        <w:spacing w:after="100" w:before="60" w:line="264" w:lineRule="auto"/>
        <w:ind w:right="100"/>
        <w:rPr>
          <w:i w:val="1"/>
          <w:color w:val="4472c4"/>
          <w:sz w:val="20"/>
          <w:szCs w:val="20"/>
        </w:rPr>
      </w:pPr>
      <w:r w:rsidDel="00000000" w:rsidR="00000000" w:rsidRPr="00000000">
        <w:rPr>
          <w:i w:val="1"/>
          <w:color w:val="4472c4"/>
          <w:sz w:val="20"/>
          <w:szCs w:val="20"/>
          <w:rtl w:val="0"/>
        </w:rPr>
        <w:t xml:space="preserve">Table 1. Partner responsibilities</w:t>
      </w:r>
    </w:p>
    <w:tbl>
      <w:tblPr>
        <w:tblStyle w:val="Table1"/>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75"/>
        <w:gridCol w:w="2100"/>
        <w:gridCol w:w="2070"/>
        <w:gridCol w:w="2100"/>
        <w:tblGridChange w:id="0">
          <w:tblGrid>
            <w:gridCol w:w="2775"/>
            <w:gridCol w:w="2100"/>
            <w:gridCol w:w="2070"/>
            <w:gridCol w:w="2100"/>
          </w:tblGrid>
        </w:tblGridChange>
      </w:tblGrid>
      <w:tr>
        <w:trPr>
          <w:cantSplit w:val="0"/>
          <w:trHeight w:val="545" w:hRule="atLeast"/>
          <w:tblHeader w:val="0"/>
        </w:trPr>
        <w:tc>
          <w:tcPr>
            <w:shd w:fill="4472c4" w:val="clear"/>
            <w:tcMar>
              <w:top w:w="100.0" w:type="dxa"/>
              <w:left w:w="100.0" w:type="dxa"/>
              <w:bottom w:w="100.0" w:type="dxa"/>
              <w:right w:w="100.0" w:type="dxa"/>
            </w:tcMar>
          </w:tcPr>
          <w:p w:rsidR="00000000" w:rsidDel="00000000" w:rsidP="00000000" w:rsidRDefault="00000000" w:rsidRPr="00000000" w14:paraId="0000003A">
            <w:pPr>
              <w:rPr>
                <w:color w:val="ffffff"/>
              </w:rPr>
            </w:pPr>
            <w:r w:rsidDel="00000000" w:rsidR="00000000" w:rsidRPr="00000000">
              <w:rPr>
                <w:color w:val="ffffff"/>
                <w:rtl w:val="0"/>
              </w:rPr>
              <w:t xml:space="preserve"> </w:t>
            </w:r>
          </w:p>
        </w:tc>
        <w:tc>
          <w:tcPr>
            <w:shd w:fill="4472c4" w:val="clear"/>
            <w:tcMar>
              <w:top w:w="100.0" w:type="dxa"/>
              <w:left w:w="100.0" w:type="dxa"/>
              <w:bottom w:w="100.0" w:type="dxa"/>
              <w:right w:w="100.0" w:type="dxa"/>
            </w:tcMar>
          </w:tcPr>
          <w:p w:rsidR="00000000" w:rsidDel="00000000" w:rsidP="00000000" w:rsidRDefault="00000000" w:rsidRPr="00000000" w14:paraId="0000003B">
            <w:pPr>
              <w:jc w:val="center"/>
              <w:rPr>
                <w:b w:val="1"/>
                <w:color w:val="ffffff"/>
              </w:rPr>
            </w:pPr>
            <w:r w:rsidDel="00000000" w:rsidR="00000000" w:rsidRPr="00000000">
              <w:rPr>
                <w:b w:val="1"/>
                <w:color w:val="ffffff"/>
                <w:rtl w:val="0"/>
              </w:rPr>
              <w:t xml:space="preserve">HEP</w:t>
            </w:r>
          </w:p>
        </w:tc>
        <w:tc>
          <w:tcPr>
            <w:shd w:fill="4472c4" w:val="clear"/>
            <w:tcMar>
              <w:top w:w="100.0" w:type="dxa"/>
              <w:left w:w="100.0" w:type="dxa"/>
              <w:bottom w:w="100.0" w:type="dxa"/>
              <w:right w:w="100.0" w:type="dxa"/>
            </w:tcMar>
          </w:tcPr>
          <w:p w:rsidR="00000000" w:rsidDel="00000000" w:rsidP="00000000" w:rsidRDefault="00000000" w:rsidRPr="00000000" w14:paraId="0000003C">
            <w:pPr>
              <w:jc w:val="center"/>
              <w:rPr>
                <w:b w:val="1"/>
                <w:color w:val="ffffff"/>
              </w:rPr>
            </w:pPr>
            <w:r w:rsidDel="00000000" w:rsidR="00000000" w:rsidRPr="00000000">
              <w:rPr>
                <w:b w:val="1"/>
                <w:color w:val="ffffff"/>
                <w:rtl w:val="0"/>
              </w:rPr>
              <w:t xml:space="preserve">TASO</w:t>
            </w:r>
          </w:p>
        </w:tc>
        <w:tc>
          <w:tcPr>
            <w:shd w:fill="4472c4" w:val="clear"/>
            <w:tcMar>
              <w:top w:w="100.0" w:type="dxa"/>
              <w:left w:w="100.0" w:type="dxa"/>
              <w:bottom w:w="100.0" w:type="dxa"/>
              <w:right w:w="100.0" w:type="dxa"/>
            </w:tcMar>
          </w:tcPr>
          <w:p w:rsidR="00000000" w:rsidDel="00000000" w:rsidP="00000000" w:rsidRDefault="00000000" w:rsidRPr="00000000" w14:paraId="0000003D">
            <w:pPr>
              <w:jc w:val="center"/>
              <w:rPr>
                <w:b w:val="1"/>
                <w:color w:val="ffffff"/>
              </w:rPr>
            </w:pPr>
            <w:r w:rsidDel="00000000" w:rsidR="00000000" w:rsidRPr="00000000">
              <w:rPr>
                <w:b w:val="1"/>
                <w:color w:val="ffffff"/>
                <w:rtl w:val="0"/>
              </w:rPr>
              <w:t xml:space="preserve">Liz Thomas</w:t>
            </w:r>
            <w:r w:rsidDel="00000000" w:rsidR="00000000" w:rsidRPr="00000000">
              <w:rPr>
                <w:rtl w:val="0"/>
              </w:rPr>
            </w:r>
          </w:p>
        </w:tc>
      </w:tr>
      <w:tr>
        <w:trPr>
          <w:cantSplit w:val="0"/>
          <w:trHeight w:val="403" w:hRule="atLeast"/>
          <w:tblHeader w:val="0"/>
        </w:trPr>
        <w:tc>
          <w:tcPr>
            <w:tcMar>
              <w:top w:w="100.0" w:type="dxa"/>
              <w:left w:w="100.0" w:type="dxa"/>
              <w:bottom w:w="100.0" w:type="dxa"/>
              <w:right w:w="100.0" w:type="dxa"/>
            </w:tcMar>
          </w:tcPr>
          <w:p w:rsidR="00000000" w:rsidDel="00000000" w:rsidP="00000000" w:rsidRDefault="00000000" w:rsidRPr="00000000" w14:paraId="0000003E">
            <w:pPr>
              <w:rPr>
                <w:color w:val="0e101a"/>
              </w:rPr>
            </w:pPr>
            <w:r w:rsidDel="00000000" w:rsidR="00000000" w:rsidRPr="00000000">
              <w:rPr>
                <w:color w:val="0e101a"/>
                <w:rtl w:val="0"/>
              </w:rPr>
              <w:t xml:space="preserve">Contract management </w:t>
            </w:r>
          </w:p>
        </w:tc>
        <w:tc>
          <w:tcPr>
            <w:tcMar>
              <w:top w:w="100.0" w:type="dxa"/>
              <w:left w:w="100.0" w:type="dxa"/>
              <w:bottom w:w="100.0" w:type="dxa"/>
              <w:right w:w="100.0" w:type="dxa"/>
            </w:tcMar>
          </w:tcPr>
          <w:p w:rsidR="00000000" w:rsidDel="00000000" w:rsidP="00000000" w:rsidRDefault="00000000" w:rsidRPr="00000000" w14:paraId="0000003F">
            <w:pPr>
              <w:jc w:val="center"/>
              <w:rPr>
                <w:color w:val="0e101a"/>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0">
            <w:pPr>
              <w:jc w:val="center"/>
              <w:rPr>
                <w:color w:val="0e101a"/>
              </w:rPr>
            </w:pPr>
            <w:r w:rsidDel="00000000" w:rsidR="00000000" w:rsidRPr="00000000">
              <w:rPr>
                <w:color w:val="0e101a"/>
                <w:rtl w:val="0"/>
              </w:rPr>
              <w:t xml:space="preserve">Lead</w:t>
            </w:r>
          </w:p>
        </w:tc>
        <w:tc>
          <w:tcPr>
            <w:tcMar>
              <w:top w:w="100.0" w:type="dxa"/>
              <w:left w:w="100.0" w:type="dxa"/>
              <w:bottom w:w="100.0" w:type="dxa"/>
              <w:right w:w="100.0" w:type="dxa"/>
            </w:tcMar>
          </w:tcPr>
          <w:p w:rsidR="00000000" w:rsidDel="00000000" w:rsidP="00000000" w:rsidRDefault="00000000" w:rsidRPr="00000000" w14:paraId="00000041">
            <w:pPr>
              <w:jc w:val="center"/>
              <w:rPr>
                <w:color w:val="0e101a"/>
              </w:rPr>
            </w:pPr>
            <w:r w:rsidDel="00000000" w:rsidR="00000000" w:rsidRPr="00000000">
              <w:rPr>
                <w:rtl w:val="0"/>
              </w:rPr>
            </w:r>
          </w:p>
        </w:tc>
      </w:tr>
      <w:tr>
        <w:trPr>
          <w:cantSplit w:val="0"/>
          <w:trHeight w:val="359" w:hRule="atLeast"/>
          <w:tblHeader w:val="0"/>
        </w:trPr>
        <w:tc>
          <w:tcPr>
            <w:tcMar>
              <w:top w:w="100.0" w:type="dxa"/>
              <w:left w:w="100.0" w:type="dxa"/>
              <w:bottom w:w="100.0" w:type="dxa"/>
              <w:right w:w="100.0" w:type="dxa"/>
            </w:tcMar>
          </w:tcPr>
          <w:p w:rsidR="00000000" w:rsidDel="00000000" w:rsidP="00000000" w:rsidRDefault="00000000" w:rsidRPr="00000000" w14:paraId="00000042">
            <w:pPr>
              <w:rPr>
                <w:color w:val="0e101a"/>
              </w:rPr>
            </w:pPr>
            <w:r w:rsidDel="00000000" w:rsidR="00000000" w:rsidRPr="00000000">
              <w:rPr>
                <w:color w:val="0e101a"/>
                <w:rtl w:val="0"/>
              </w:rPr>
              <w:t xml:space="preserve">Project management </w:t>
            </w:r>
          </w:p>
        </w:tc>
        <w:tc>
          <w:tcPr>
            <w:tcMar>
              <w:top w:w="100.0" w:type="dxa"/>
              <w:left w:w="100.0" w:type="dxa"/>
              <w:bottom w:w="100.0" w:type="dxa"/>
              <w:right w:w="100.0" w:type="dxa"/>
            </w:tcMar>
          </w:tcPr>
          <w:p w:rsidR="00000000" w:rsidDel="00000000" w:rsidP="00000000" w:rsidRDefault="00000000" w:rsidRPr="00000000" w14:paraId="00000043">
            <w:pPr>
              <w:jc w:val="center"/>
              <w:rPr>
                <w:color w:val="0e101a"/>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4">
            <w:pPr>
              <w:jc w:val="center"/>
              <w:rPr>
                <w:color w:val="0e101a"/>
              </w:rPr>
            </w:pPr>
            <w:r w:rsidDel="00000000" w:rsidR="00000000" w:rsidRPr="00000000">
              <w:rPr>
                <w:color w:val="0e101a"/>
                <w:rtl w:val="0"/>
              </w:rPr>
              <w:t xml:space="preserve">Lead</w:t>
            </w:r>
          </w:p>
        </w:tc>
        <w:tc>
          <w:tcPr>
            <w:tcMar>
              <w:top w:w="100.0" w:type="dxa"/>
              <w:left w:w="100.0" w:type="dxa"/>
              <w:bottom w:w="100.0" w:type="dxa"/>
              <w:right w:w="100.0" w:type="dxa"/>
            </w:tcMar>
          </w:tcPr>
          <w:p w:rsidR="00000000" w:rsidDel="00000000" w:rsidP="00000000" w:rsidRDefault="00000000" w:rsidRPr="00000000" w14:paraId="00000045">
            <w:pPr>
              <w:jc w:val="center"/>
              <w:rPr>
                <w:color w:val="0e101a"/>
              </w:rPr>
            </w:pPr>
            <w:r w:rsidDel="00000000" w:rsidR="00000000" w:rsidRPr="00000000">
              <w:rPr>
                <w:color w:val="0e101a"/>
                <w:rtl w:val="0"/>
              </w:rPr>
              <w:t xml:space="preserve">Lead</w:t>
            </w:r>
          </w:p>
        </w:tc>
      </w:tr>
      <w:tr>
        <w:trPr>
          <w:cantSplit w:val="0"/>
          <w:trHeight w:val="353" w:hRule="atLeast"/>
          <w:tblHeader w:val="0"/>
        </w:trPr>
        <w:tc>
          <w:tcPr>
            <w:tcMar>
              <w:top w:w="100.0" w:type="dxa"/>
              <w:left w:w="100.0" w:type="dxa"/>
              <w:bottom w:w="100.0" w:type="dxa"/>
              <w:right w:w="100.0" w:type="dxa"/>
            </w:tcMar>
          </w:tcPr>
          <w:p w:rsidR="00000000" w:rsidDel="00000000" w:rsidP="00000000" w:rsidRDefault="00000000" w:rsidRPr="00000000" w14:paraId="00000046">
            <w:pPr>
              <w:rPr>
                <w:color w:val="0e101a"/>
              </w:rPr>
            </w:pPr>
            <w:r w:rsidDel="00000000" w:rsidR="00000000" w:rsidRPr="00000000">
              <w:rPr>
                <w:color w:val="0e101a"/>
                <w:rtl w:val="0"/>
              </w:rPr>
              <w:t xml:space="preserve">Expert, technical advice </w:t>
            </w:r>
          </w:p>
        </w:tc>
        <w:tc>
          <w:tcPr>
            <w:tcMar>
              <w:top w:w="100.0" w:type="dxa"/>
              <w:left w:w="100.0" w:type="dxa"/>
              <w:bottom w:w="100.0" w:type="dxa"/>
              <w:right w:w="100.0" w:type="dxa"/>
            </w:tcMar>
          </w:tcPr>
          <w:p w:rsidR="00000000" w:rsidDel="00000000" w:rsidP="00000000" w:rsidRDefault="00000000" w:rsidRPr="00000000" w14:paraId="00000047">
            <w:pPr>
              <w:jc w:val="center"/>
              <w:rPr>
                <w:color w:val="0e101a"/>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8">
            <w:pPr>
              <w:jc w:val="center"/>
              <w:rPr>
                <w:color w:val="0e101a"/>
              </w:rPr>
            </w:pPr>
            <w:r w:rsidDel="00000000" w:rsidR="00000000" w:rsidRPr="00000000">
              <w:rPr>
                <w:color w:val="0e101a"/>
                <w:rtl w:val="0"/>
              </w:rPr>
              <w:t xml:space="preserve">Lead</w:t>
            </w:r>
          </w:p>
        </w:tc>
        <w:tc>
          <w:tcPr>
            <w:tcMar>
              <w:top w:w="100.0" w:type="dxa"/>
              <w:left w:w="100.0" w:type="dxa"/>
              <w:bottom w:w="100.0" w:type="dxa"/>
              <w:right w:w="100.0" w:type="dxa"/>
            </w:tcMar>
          </w:tcPr>
          <w:p w:rsidR="00000000" w:rsidDel="00000000" w:rsidP="00000000" w:rsidRDefault="00000000" w:rsidRPr="00000000" w14:paraId="00000049">
            <w:pPr>
              <w:jc w:val="center"/>
              <w:rPr>
                <w:color w:val="0e101a"/>
              </w:rPr>
            </w:pPr>
            <w:r w:rsidDel="00000000" w:rsidR="00000000" w:rsidRPr="00000000">
              <w:rPr>
                <w:color w:val="0e101a"/>
                <w:rtl w:val="0"/>
              </w:rPr>
              <w:t xml:space="preserve">Lead</w:t>
            </w:r>
          </w:p>
        </w:tc>
      </w:tr>
      <w:tr>
        <w:trPr>
          <w:cantSplit w:val="0"/>
          <w:trHeight w:val="362" w:hRule="atLeast"/>
          <w:tblHeader w:val="0"/>
        </w:trPr>
        <w:tc>
          <w:tcPr>
            <w:tcMar>
              <w:top w:w="100.0" w:type="dxa"/>
              <w:left w:w="100.0" w:type="dxa"/>
              <w:bottom w:w="100.0" w:type="dxa"/>
              <w:right w:w="100.0" w:type="dxa"/>
            </w:tcMar>
          </w:tcPr>
          <w:p w:rsidR="00000000" w:rsidDel="00000000" w:rsidP="00000000" w:rsidRDefault="00000000" w:rsidRPr="00000000" w14:paraId="0000004A">
            <w:pPr>
              <w:rPr>
                <w:color w:val="0e101a"/>
              </w:rPr>
            </w:pPr>
            <w:r w:rsidDel="00000000" w:rsidR="00000000" w:rsidRPr="00000000">
              <w:rPr>
                <w:color w:val="0e101a"/>
                <w:rtl w:val="0"/>
              </w:rPr>
              <w:t xml:space="preserve">Conduct ToC workshops </w:t>
            </w:r>
          </w:p>
        </w:tc>
        <w:tc>
          <w:tcPr>
            <w:tcMar>
              <w:top w:w="100.0" w:type="dxa"/>
              <w:left w:w="100.0" w:type="dxa"/>
              <w:bottom w:w="100.0" w:type="dxa"/>
              <w:right w:w="100.0" w:type="dxa"/>
            </w:tcMar>
          </w:tcPr>
          <w:p w:rsidR="00000000" w:rsidDel="00000000" w:rsidP="00000000" w:rsidRDefault="00000000" w:rsidRPr="00000000" w14:paraId="0000004B">
            <w:pPr>
              <w:jc w:val="center"/>
              <w:rPr>
                <w:color w:val="0e101a"/>
              </w:rPr>
            </w:pPr>
            <w:r w:rsidDel="00000000" w:rsidR="00000000" w:rsidRPr="00000000">
              <w:rPr>
                <w:color w:val="0e101a"/>
                <w:rtl w:val="0"/>
              </w:rPr>
              <w:t xml:space="preserve">Participate</w:t>
            </w:r>
          </w:p>
        </w:tc>
        <w:tc>
          <w:tcPr>
            <w:tcMar>
              <w:top w:w="100.0" w:type="dxa"/>
              <w:left w:w="100.0" w:type="dxa"/>
              <w:bottom w:w="100.0" w:type="dxa"/>
              <w:right w:w="100.0" w:type="dxa"/>
            </w:tcMar>
          </w:tcPr>
          <w:p w:rsidR="00000000" w:rsidDel="00000000" w:rsidP="00000000" w:rsidRDefault="00000000" w:rsidRPr="00000000" w14:paraId="0000004C">
            <w:pPr>
              <w:jc w:val="center"/>
              <w:rPr>
                <w:color w:val="0e101a"/>
              </w:rPr>
            </w:pPr>
            <w:r w:rsidDel="00000000" w:rsidR="00000000" w:rsidRPr="00000000">
              <w:rPr>
                <w:color w:val="0e101a"/>
                <w:rtl w:val="0"/>
              </w:rPr>
              <w:t xml:space="preserve">Lead</w:t>
            </w:r>
          </w:p>
        </w:tc>
        <w:tc>
          <w:tcPr>
            <w:tcMar>
              <w:top w:w="100.0" w:type="dxa"/>
              <w:left w:w="100.0" w:type="dxa"/>
              <w:bottom w:w="100.0" w:type="dxa"/>
              <w:right w:w="100.0" w:type="dxa"/>
            </w:tcMar>
          </w:tcPr>
          <w:p w:rsidR="00000000" w:rsidDel="00000000" w:rsidP="00000000" w:rsidRDefault="00000000" w:rsidRPr="00000000" w14:paraId="0000004D">
            <w:pPr>
              <w:jc w:val="center"/>
              <w:rPr>
                <w:color w:val="0e101a"/>
              </w:rPr>
            </w:pPr>
            <w:r w:rsidDel="00000000" w:rsidR="00000000" w:rsidRPr="00000000">
              <w:rPr>
                <w:color w:val="0e101a"/>
                <w:rtl w:val="0"/>
              </w:rPr>
              <w:t xml:space="preserve">Lead</w:t>
            </w:r>
          </w:p>
        </w:tc>
      </w:tr>
      <w:tr>
        <w:trPr>
          <w:cantSplit w:val="0"/>
          <w:trHeight w:val="356" w:hRule="atLeast"/>
          <w:tblHeader w:val="0"/>
        </w:trPr>
        <w:tc>
          <w:tcPr>
            <w:tcMar>
              <w:top w:w="100.0" w:type="dxa"/>
              <w:left w:w="100.0" w:type="dxa"/>
              <w:bottom w:w="100.0" w:type="dxa"/>
              <w:right w:w="100.0" w:type="dxa"/>
            </w:tcMar>
          </w:tcPr>
          <w:p w:rsidR="00000000" w:rsidDel="00000000" w:rsidP="00000000" w:rsidRDefault="00000000" w:rsidRPr="00000000" w14:paraId="0000004E">
            <w:pPr>
              <w:rPr>
                <w:color w:val="0e101a"/>
              </w:rPr>
            </w:pPr>
            <w:r w:rsidDel="00000000" w:rsidR="00000000" w:rsidRPr="00000000">
              <w:rPr>
                <w:color w:val="0e101a"/>
                <w:rtl w:val="0"/>
              </w:rPr>
              <w:t xml:space="preserve">Review ToC</w:t>
            </w:r>
          </w:p>
        </w:tc>
        <w:tc>
          <w:tcPr>
            <w:tcMar>
              <w:top w:w="100.0" w:type="dxa"/>
              <w:left w:w="100.0" w:type="dxa"/>
              <w:bottom w:w="100.0" w:type="dxa"/>
              <w:right w:w="100.0" w:type="dxa"/>
            </w:tcMar>
          </w:tcPr>
          <w:p w:rsidR="00000000" w:rsidDel="00000000" w:rsidP="00000000" w:rsidRDefault="00000000" w:rsidRPr="00000000" w14:paraId="0000004F">
            <w:pPr>
              <w:jc w:val="center"/>
              <w:rPr>
                <w:color w:val="0e101a"/>
              </w:rPr>
            </w:pPr>
            <w:r w:rsidDel="00000000" w:rsidR="00000000" w:rsidRPr="00000000">
              <w:rPr>
                <w:color w:val="0e101a"/>
                <w:rtl w:val="0"/>
              </w:rPr>
              <w:t xml:space="preserve">Review</w:t>
            </w:r>
          </w:p>
        </w:tc>
        <w:tc>
          <w:tcPr>
            <w:tcMar>
              <w:top w:w="100.0" w:type="dxa"/>
              <w:left w:w="100.0" w:type="dxa"/>
              <w:bottom w:w="100.0" w:type="dxa"/>
              <w:right w:w="100.0" w:type="dxa"/>
            </w:tcMar>
          </w:tcPr>
          <w:p w:rsidR="00000000" w:rsidDel="00000000" w:rsidP="00000000" w:rsidRDefault="00000000" w:rsidRPr="00000000" w14:paraId="00000050">
            <w:pPr>
              <w:jc w:val="center"/>
              <w:rPr>
                <w:color w:val="0e101a"/>
              </w:rPr>
            </w:pPr>
            <w:r w:rsidDel="00000000" w:rsidR="00000000" w:rsidRPr="00000000">
              <w:rPr>
                <w:color w:val="0e101a"/>
                <w:rtl w:val="0"/>
              </w:rPr>
              <w:t xml:space="preserve"> Review</w:t>
            </w:r>
          </w:p>
        </w:tc>
        <w:tc>
          <w:tcPr>
            <w:tcMar>
              <w:top w:w="100.0" w:type="dxa"/>
              <w:left w:w="100.0" w:type="dxa"/>
              <w:bottom w:w="100.0" w:type="dxa"/>
              <w:right w:w="100.0" w:type="dxa"/>
            </w:tcMar>
          </w:tcPr>
          <w:p w:rsidR="00000000" w:rsidDel="00000000" w:rsidP="00000000" w:rsidRDefault="00000000" w:rsidRPr="00000000" w14:paraId="00000051">
            <w:pPr>
              <w:jc w:val="center"/>
              <w:rPr>
                <w:color w:val="0e101a"/>
              </w:rPr>
            </w:pPr>
            <w:r w:rsidDel="00000000" w:rsidR="00000000" w:rsidRPr="00000000">
              <w:rPr>
                <w:color w:val="0e101a"/>
                <w:rtl w:val="0"/>
              </w:rPr>
              <w:t xml:space="preserve">Review</w:t>
            </w:r>
          </w:p>
        </w:tc>
      </w:tr>
      <w:tr>
        <w:trPr>
          <w:cantSplit w:val="0"/>
          <w:trHeight w:val="356" w:hRule="atLeast"/>
          <w:tblHeader w:val="0"/>
        </w:trPr>
        <w:tc>
          <w:tcPr>
            <w:tcMar>
              <w:top w:w="100.0" w:type="dxa"/>
              <w:left w:w="100.0" w:type="dxa"/>
              <w:bottom w:w="100.0" w:type="dxa"/>
              <w:right w:w="100.0" w:type="dxa"/>
            </w:tcMar>
          </w:tcPr>
          <w:p w:rsidR="00000000" w:rsidDel="00000000" w:rsidP="00000000" w:rsidRDefault="00000000" w:rsidRPr="00000000" w14:paraId="00000052">
            <w:pPr>
              <w:rPr>
                <w:color w:val="0e101a"/>
              </w:rPr>
            </w:pPr>
            <w:r w:rsidDel="00000000" w:rsidR="00000000" w:rsidRPr="00000000">
              <w:rPr>
                <w:color w:val="0e101a"/>
                <w:rtl w:val="0"/>
              </w:rPr>
              <w:t xml:space="preserve">Produce summary report</w:t>
            </w:r>
          </w:p>
        </w:tc>
        <w:tc>
          <w:tcPr>
            <w:tcMar>
              <w:top w:w="100.0" w:type="dxa"/>
              <w:left w:w="100.0" w:type="dxa"/>
              <w:bottom w:w="100.0" w:type="dxa"/>
              <w:right w:w="100.0" w:type="dxa"/>
            </w:tcMar>
          </w:tcPr>
          <w:p w:rsidR="00000000" w:rsidDel="00000000" w:rsidP="00000000" w:rsidRDefault="00000000" w:rsidRPr="00000000" w14:paraId="00000053">
            <w:pPr>
              <w:jc w:val="center"/>
              <w:rPr>
                <w:color w:val="0e101a"/>
              </w:rPr>
            </w:pPr>
            <w:r w:rsidDel="00000000" w:rsidR="00000000" w:rsidRPr="00000000">
              <w:rPr>
                <w:color w:val="0e101a"/>
                <w:rtl w:val="0"/>
              </w:rPr>
              <w:t xml:space="preserve">Contribute</w:t>
            </w:r>
          </w:p>
        </w:tc>
        <w:tc>
          <w:tcPr>
            <w:tcMar>
              <w:top w:w="100.0" w:type="dxa"/>
              <w:left w:w="100.0" w:type="dxa"/>
              <w:bottom w:w="100.0" w:type="dxa"/>
              <w:right w:w="100.0" w:type="dxa"/>
            </w:tcMar>
          </w:tcPr>
          <w:p w:rsidR="00000000" w:rsidDel="00000000" w:rsidP="00000000" w:rsidRDefault="00000000" w:rsidRPr="00000000" w14:paraId="00000054">
            <w:pPr>
              <w:jc w:val="center"/>
              <w:rPr>
                <w:color w:val="0e101a"/>
              </w:rPr>
            </w:pPr>
            <w:r w:rsidDel="00000000" w:rsidR="00000000" w:rsidRPr="00000000">
              <w:rPr>
                <w:color w:val="0e101a"/>
                <w:rtl w:val="0"/>
              </w:rPr>
              <w:t xml:space="preserve">Lead</w:t>
            </w:r>
          </w:p>
        </w:tc>
        <w:tc>
          <w:tcPr>
            <w:tcMar>
              <w:top w:w="100.0" w:type="dxa"/>
              <w:left w:w="100.0" w:type="dxa"/>
              <w:bottom w:w="100.0" w:type="dxa"/>
              <w:right w:w="100.0" w:type="dxa"/>
            </w:tcMar>
          </w:tcPr>
          <w:p w:rsidR="00000000" w:rsidDel="00000000" w:rsidP="00000000" w:rsidRDefault="00000000" w:rsidRPr="00000000" w14:paraId="00000055">
            <w:pPr>
              <w:jc w:val="center"/>
              <w:rPr>
                <w:color w:val="0e101a"/>
              </w:rPr>
            </w:pPr>
            <w:r w:rsidDel="00000000" w:rsidR="00000000" w:rsidRPr="00000000">
              <w:rPr>
                <w:color w:val="0e101a"/>
                <w:rtl w:val="0"/>
              </w:rPr>
              <w:t xml:space="preserve">Contribute</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Project timeline</w:t>
      </w:r>
    </w:p>
    <w:p w:rsidR="00000000" w:rsidDel="00000000" w:rsidP="00000000" w:rsidRDefault="00000000" w:rsidRPr="00000000" w14:paraId="00000058">
      <w:pPr>
        <w:spacing w:after="100" w:before="60" w:line="264" w:lineRule="auto"/>
        <w:ind w:right="100"/>
        <w:rPr>
          <w:color w:val="0e101a"/>
        </w:rPr>
      </w:pPr>
      <w:r w:rsidDel="00000000" w:rsidR="00000000" w:rsidRPr="00000000">
        <w:rPr>
          <w:color w:val="0e101a"/>
          <w:rtl w:val="0"/>
        </w:rPr>
        <w:t xml:space="preserve">The project timeline is outlined in Table 2 below.</w:t>
      </w:r>
    </w:p>
    <w:p w:rsidR="00000000" w:rsidDel="00000000" w:rsidP="00000000" w:rsidRDefault="00000000" w:rsidRPr="00000000" w14:paraId="00000059">
      <w:pPr>
        <w:spacing w:after="100" w:before="60" w:line="264" w:lineRule="auto"/>
        <w:ind w:right="100"/>
        <w:rPr>
          <w:i w:val="1"/>
          <w:color w:val="4472c4"/>
          <w:sz w:val="20"/>
          <w:szCs w:val="20"/>
        </w:rPr>
      </w:pPr>
      <w:r w:rsidDel="00000000" w:rsidR="00000000" w:rsidRPr="00000000">
        <w:rPr>
          <w:i w:val="1"/>
          <w:color w:val="4472c4"/>
          <w:sz w:val="20"/>
          <w:szCs w:val="20"/>
          <w:rtl w:val="0"/>
        </w:rPr>
        <w:t xml:space="preserve">Table 2. Project milestones and key dates</w:t>
      </w:r>
    </w:p>
    <w:sdt>
      <w:sdtPr>
        <w:lock w:val="contentLocked"/>
        <w:tag w:val="goog_rdk_0"/>
      </w:sdtPr>
      <w:sdtContent>
        <w:tbl>
          <w:tblPr>
            <w:tblStyle w:val="Table2"/>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15"/>
            <w:gridCol w:w="3345"/>
            <w:tblGridChange w:id="0">
              <w:tblGrid>
                <w:gridCol w:w="5715"/>
                <w:gridCol w:w="3345"/>
              </w:tblGrid>
            </w:tblGridChange>
          </w:tblGrid>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4472c4"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color w:val="ffffff"/>
                  </w:rPr>
                </w:pPr>
                <w:r w:rsidDel="00000000" w:rsidR="00000000" w:rsidRPr="00000000">
                  <w:rPr>
                    <w:b w:val="1"/>
                    <w:color w:val="ffffff"/>
                    <w:rtl w:val="0"/>
                  </w:rPr>
                  <w:t xml:space="preserve">Milestone</w:t>
                </w:r>
              </w:p>
            </w:tc>
            <w:tc>
              <w:tcPr>
                <w:tcBorders>
                  <w:top w:color="000000" w:space="0" w:sz="8" w:val="single"/>
                  <w:left w:color="000000" w:space="0" w:sz="0" w:val="nil"/>
                  <w:bottom w:color="000000" w:space="0" w:sz="8" w:val="single"/>
                  <w:right w:color="000000" w:space="0" w:sz="8" w:val="single"/>
                </w:tcBorders>
                <w:shd w:fill="4472c4"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color w:val="ffffff"/>
                  </w:rPr>
                </w:pPr>
                <w:r w:rsidDel="00000000" w:rsidR="00000000" w:rsidRPr="00000000">
                  <w:rPr>
                    <w:b w:val="1"/>
                    <w:color w:val="ffffff"/>
                    <w:rtl w:val="0"/>
                  </w:rPr>
                  <w:t xml:space="preserve">Date</w:t>
                </w:r>
              </w:p>
            </w:tc>
          </w:tr>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Call for applications opens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5th December 2024</w:t>
                </w:r>
              </w:p>
            </w:tc>
          </w:tr>
          <w:tr>
            <w:trPr>
              <w:cantSplit w:val="0"/>
              <w:trHeight w:val="2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Open call information webinar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17th December 2024</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Deadline for </w:t>
                </w:r>
                <w:r w:rsidDel="00000000" w:rsidR="00000000" w:rsidRPr="00000000">
                  <w:rPr>
                    <w:rtl w:val="0"/>
                  </w:rPr>
                  <w:t xml:space="preserve">applications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8th January 2025</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Application follow-up calls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w/c 13th January 2025</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HEPs appointed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22nd January 2025</w:t>
                </w:r>
              </w:p>
            </w:tc>
          </w:tr>
          <w:tr>
            <w:trPr>
              <w:cantSplit w:val="0"/>
              <w:trHeight w:val="198.3325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Project kick off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w/c 27th January 2025</w:t>
                </w:r>
              </w:p>
            </w:tc>
          </w:tr>
          <w:tr>
            <w:trPr>
              <w:cantSplit w:val="0"/>
              <w:trHeight w:val="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ToC development meetings and workshops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February-March 2025</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Final ToC outputs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28th March 2025</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Final summary report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30th April </w:t>
                </w:r>
                <w:r w:rsidDel="00000000" w:rsidR="00000000" w:rsidRPr="00000000">
                  <w:rPr>
                    <w:rtl w:val="0"/>
                  </w:rPr>
                  <w:t xml:space="preserve">2025</w:t>
                </w:r>
                <w:r w:rsidDel="00000000" w:rsidR="00000000" w:rsidRPr="00000000">
                  <w:rPr>
                    <w:rtl w:val="0"/>
                  </w:rPr>
                </w:r>
              </w:p>
            </w:tc>
          </w:tr>
        </w:tbl>
      </w:sdtContent>
    </w:sdt>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highlight w:val="yellow"/>
        </w:rPr>
      </w:pPr>
      <w:r w:rsidDel="00000000" w:rsidR="00000000" w:rsidRPr="00000000">
        <w:rPr>
          <w:rtl w:val="0"/>
        </w:rPr>
        <w:t xml:space="preserve">Using the expression of interest form below, please submit information about your whole provider approach by</w:t>
      </w:r>
      <w:r w:rsidDel="00000000" w:rsidR="00000000" w:rsidRPr="00000000">
        <w:rPr>
          <w:b w:val="1"/>
          <w:rtl w:val="0"/>
        </w:rPr>
        <w:t xml:space="preserve"> midnight on 8th January 2025</w:t>
      </w:r>
      <w:r w:rsidDel="00000000" w:rsidR="00000000" w:rsidRPr="00000000">
        <w:rPr>
          <w:rtl w:val="0"/>
        </w:rPr>
        <w:t xml:space="preserve">. If you have any questions regarding the open call, please join us on 17th December 2024 at 10:30-11:15am for an </w:t>
      </w:r>
      <w:hyperlink r:id="rId21">
        <w:r w:rsidDel="00000000" w:rsidR="00000000" w:rsidRPr="00000000">
          <w:rPr>
            <w:color w:val="1155cc"/>
            <w:u w:val="single"/>
            <w:rtl w:val="0"/>
          </w:rPr>
          <w:t xml:space="preserve">information session </w:t>
        </w:r>
      </w:hyperlink>
      <w:r w:rsidDel="00000000" w:rsidR="00000000" w:rsidRPr="00000000">
        <w:rPr>
          <w:rtl w:val="0"/>
        </w:rPr>
        <w:t xml:space="preserve">on the project and the open call process. You can also get in touch over email via </w:t>
      </w:r>
      <w:hyperlink r:id="rId22">
        <w:r w:rsidDel="00000000" w:rsidR="00000000" w:rsidRPr="00000000">
          <w:rPr>
            <w:color w:val="1155cc"/>
            <w:u w:val="single"/>
            <w:rtl w:val="0"/>
          </w:rPr>
          <w:t xml:space="preserve">research@taso.org.uk</w:t>
        </w:r>
      </w:hyperlink>
      <w:r w:rsidDel="00000000" w:rsidR="00000000" w:rsidRPr="00000000">
        <w:rPr>
          <w:rtl w:val="0"/>
        </w:rPr>
        <w:t xml:space="preserve">. You may be invited to a follow-up call for us to find out more about your submission in the week commencing 13th January 2025 and will be informed of the outcome of your submission by the 22nd January 2025.</w:t>
      </w: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pStyle w:val="Heading3"/>
        <w:spacing w:after="100" w:before="60" w:lineRule="auto"/>
        <w:ind w:left="0" w:firstLine="0"/>
        <w:rPr>
          <w:rFonts w:ascii="Arial" w:cs="Arial" w:eastAsia="Arial" w:hAnsi="Arial"/>
          <w:b w:val="1"/>
          <w:color w:val="000000"/>
          <w:sz w:val="22"/>
          <w:szCs w:val="22"/>
        </w:rPr>
      </w:pPr>
      <w:bookmarkStart w:colFirst="0" w:colLast="0" w:name="_heading=h.ahr66tzdjwra" w:id="5"/>
      <w:bookmarkEnd w:id="5"/>
      <w:r w:rsidDel="00000000" w:rsidR="00000000" w:rsidRPr="00000000">
        <w:rPr>
          <w:rFonts w:ascii="Arial" w:cs="Arial" w:eastAsia="Arial" w:hAnsi="Arial"/>
          <w:b w:val="1"/>
          <w:color w:val="000000"/>
          <w:sz w:val="22"/>
          <w:szCs w:val="22"/>
          <w:rtl w:val="0"/>
        </w:rPr>
        <w:t xml:space="preserve">Eligibility</w:t>
      </w:r>
    </w:p>
    <w:p w:rsidR="00000000" w:rsidDel="00000000" w:rsidP="00000000" w:rsidRDefault="00000000" w:rsidRPr="00000000" w14:paraId="00000072">
      <w:pPr>
        <w:numPr>
          <w:ilvl w:val="0"/>
          <w:numId w:val="6"/>
        </w:numPr>
        <w:ind w:left="720" w:hanging="360"/>
        <w:rPr/>
      </w:pPr>
      <w:r w:rsidDel="00000000" w:rsidR="00000000" w:rsidRPr="00000000">
        <w:rPr>
          <w:rtl w:val="0"/>
        </w:rPr>
        <w:t xml:space="preserve">The applicant must be a registered English higher education provider in the approved (fee cap) category.</w:t>
      </w:r>
    </w:p>
    <w:p w:rsidR="00000000" w:rsidDel="00000000" w:rsidP="00000000" w:rsidRDefault="00000000" w:rsidRPr="00000000" w14:paraId="00000073">
      <w:pPr>
        <w:numPr>
          <w:ilvl w:val="0"/>
          <w:numId w:val="6"/>
        </w:numPr>
        <w:ind w:left="720" w:hanging="360"/>
        <w:rPr>
          <w:u w:val="none"/>
        </w:rPr>
      </w:pPr>
      <w:r w:rsidDel="00000000" w:rsidR="00000000" w:rsidRPr="00000000">
        <w:rPr>
          <w:rtl w:val="0"/>
        </w:rPr>
        <w:t xml:space="preserve">The applicant must have submitted an APP in 2024 including a section on their whole provider approach to reducing risks to equality of opportunity, in line with guidance provided by the Office for Students in </w:t>
      </w:r>
      <w:hyperlink r:id="rId23">
        <w:r w:rsidDel="00000000" w:rsidR="00000000" w:rsidRPr="00000000">
          <w:rPr>
            <w:color w:val="1155cc"/>
            <w:u w:val="single"/>
            <w:rtl w:val="0"/>
          </w:rPr>
          <w:t xml:space="preserve">Regulatory Notice 1</w:t>
        </w:r>
      </w:hyperlink>
      <w:r w:rsidDel="00000000" w:rsidR="00000000" w:rsidRPr="00000000">
        <w:rPr>
          <w:rtl w:val="0"/>
        </w:rPr>
        <w:t xml:space="preserve"> and </w:t>
      </w:r>
      <w:hyperlink r:id="rId24">
        <w:r w:rsidDel="00000000" w:rsidR="00000000" w:rsidRPr="00000000">
          <w:rPr>
            <w:color w:val="1155cc"/>
            <w:u w:val="single"/>
            <w:rtl w:val="0"/>
          </w:rPr>
          <w:t xml:space="preserve">Regulatory Guidance </w:t>
        </w:r>
      </w:hyperlink>
      <w:hyperlink r:id="rId25">
        <w:r w:rsidDel="00000000" w:rsidR="00000000" w:rsidRPr="00000000">
          <w:rPr>
            <w:color w:val="1155cc"/>
            <w:u w:val="single"/>
            <w:rtl w:val="0"/>
          </w:rPr>
          <w:t xml:space="preserve">6</w:t>
        </w:r>
      </w:hyperlink>
      <w:r w:rsidDel="00000000" w:rsidR="00000000" w:rsidRPr="00000000">
        <w:rPr>
          <w:rtl w:val="0"/>
        </w:rPr>
        <w:t xml:space="preserve">.</w:t>
      </w:r>
    </w:p>
    <w:p w:rsidR="00000000" w:rsidDel="00000000" w:rsidP="00000000" w:rsidRDefault="00000000" w:rsidRPr="00000000" w14:paraId="00000074">
      <w:pPr>
        <w:numPr>
          <w:ilvl w:val="0"/>
          <w:numId w:val="6"/>
        </w:numPr>
        <w:ind w:left="720" w:hanging="360"/>
      </w:pPr>
      <w:r w:rsidDel="00000000" w:rsidR="00000000" w:rsidRPr="00000000">
        <w:rPr>
          <w:rtl w:val="0"/>
        </w:rPr>
        <w:t xml:space="preserve">The applicant must commit time and resourcing to the ToC development, including through meetings, workshops and reviewing of outputs.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100" w:before="60" w:lineRule="auto"/>
        <w:rPr>
          <w:b w:val="1"/>
          <w:color w:val="3b66bc"/>
          <w:sz w:val="24"/>
          <w:szCs w:val="24"/>
        </w:rPr>
      </w:pPr>
      <w:r w:rsidDel="00000000" w:rsidR="00000000" w:rsidRPr="00000000">
        <w:rPr>
          <w:b w:val="1"/>
          <w:color w:val="3b66bc"/>
          <w:sz w:val="24"/>
          <w:szCs w:val="24"/>
          <w:rtl w:val="0"/>
        </w:rPr>
        <w:t xml:space="preserve">Assessment of applications</w:t>
      </w:r>
    </w:p>
    <w:p w:rsidR="00000000" w:rsidDel="00000000" w:rsidP="00000000" w:rsidRDefault="00000000" w:rsidRPr="00000000" w14:paraId="00000077">
      <w:pPr>
        <w:rPr/>
      </w:pPr>
      <w:r w:rsidDel="00000000" w:rsidR="00000000" w:rsidRPr="00000000">
        <w:rPr>
          <w:rtl w:val="0"/>
        </w:rPr>
        <w:t xml:space="preserve">Your application will be assessed by the TASO Research and Evaluation team. The strength of applications will be assessed on the below criteria (please note the weighting of each section):</w:t>
      </w:r>
    </w:p>
    <w:p w:rsidR="00000000" w:rsidDel="00000000" w:rsidP="00000000" w:rsidRDefault="00000000" w:rsidRPr="00000000" w14:paraId="00000078">
      <w:pPr>
        <w:numPr>
          <w:ilvl w:val="0"/>
          <w:numId w:val="2"/>
        </w:numPr>
        <w:ind w:left="720" w:hanging="360"/>
        <w:rPr>
          <w:rFonts w:ascii="Noto Sans Symbols" w:cs="Noto Sans Symbols" w:eastAsia="Noto Sans Symbols" w:hAnsi="Noto Sans Symbols"/>
          <w:i w:val="1"/>
        </w:rPr>
      </w:pPr>
      <w:r w:rsidDel="00000000" w:rsidR="00000000" w:rsidRPr="00000000">
        <w:rPr>
          <w:i w:val="1"/>
          <w:rtl w:val="0"/>
        </w:rPr>
        <w:t xml:space="preserve">Whole provider a</w:t>
      </w:r>
      <w:r w:rsidDel="00000000" w:rsidR="00000000" w:rsidRPr="00000000">
        <w:rPr>
          <w:i w:val="1"/>
          <w:rtl w:val="0"/>
        </w:rPr>
        <w:t xml:space="preserve">pproach</w:t>
      </w:r>
      <w:r w:rsidDel="00000000" w:rsidR="00000000" w:rsidRPr="00000000">
        <w:rPr>
          <w:i w:val="1"/>
          <w:rtl w:val="0"/>
        </w:rPr>
        <w:t xml:space="preserve"> (40%)</w:t>
      </w:r>
    </w:p>
    <w:p w:rsidR="00000000" w:rsidDel="00000000" w:rsidP="00000000" w:rsidRDefault="00000000" w:rsidRPr="00000000" w14:paraId="00000079">
      <w:pPr>
        <w:numPr>
          <w:ilvl w:val="1"/>
          <w:numId w:val="2"/>
        </w:numPr>
        <w:ind w:left="1440" w:hanging="360"/>
        <w:rPr>
          <w:rFonts w:ascii="Courier New" w:cs="Courier New" w:eastAsia="Courier New" w:hAnsi="Courier New"/>
        </w:rPr>
      </w:pPr>
      <w:r w:rsidDel="00000000" w:rsidR="00000000" w:rsidRPr="00000000">
        <w:rPr>
          <w:rtl w:val="0"/>
        </w:rPr>
        <w:t xml:space="preserve">Level of detail included in the whole provider approach, as outlined in the APP.</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urier New" w:cs="Courier New" w:eastAsia="Courier New" w:hAnsi="Courier New"/>
        </w:rPr>
      </w:pPr>
      <w:r w:rsidDel="00000000" w:rsidR="00000000" w:rsidRPr="00000000">
        <w:rPr>
          <w:rtl w:val="0"/>
        </w:rPr>
        <w:t xml:space="preserve">Extent to which the activities and initiatives included in the whole provider approach</w:t>
      </w:r>
      <w:r w:rsidDel="00000000" w:rsidR="00000000" w:rsidRPr="00000000">
        <w:rPr>
          <w:rtl w:val="0"/>
        </w:rPr>
        <w:t xml:space="preserve"> </w:t>
      </w:r>
      <w:r w:rsidDel="00000000" w:rsidR="00000000" w:rsidRPr="00000000">
        <w:rPr>
          <w:rtl w:val="0"/>
        </w:rPr>
        <w:t xml:space="preserve">contribute to or </w:t>
      </w:r>
      <w:r w:rsidDel="00000000" w:rsidR="00000000" w:rsidRPr="00000000">
        <w:rPr>
          <w:rtl w:val="0"/>
        </w:rPr>
        <w:t xml:space="preserve">are </w:t>
      </w:r>
      <w:r w:rsidDel="00000000" w:rsidR="00000000" w:rsidRPr="00000000">
        <w:rPr>
          <w:rtl w:val="0"/>
        </w:rPr>
        <w:t xml:space="preserve">integrated into an overarching whole provider approach (as opposed to disconnected initiatives across the HEP).</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ourier New" w:cs="Courier New" w:eastAsia="Courier New" w:hAnsi="Courier New"/>
        </w:rPr>
      </w:pPr>
      <w:r w:rsidDel="00000000" w:rsidR="00000000" w:rsidRPr="00000000">
        <w:rPr>
          <w:rtl w:val="0"/>
        </w:rPr>
        <w:t xml:space="preserve">Extent to which the whole provider approach spans</w:t>
      </w:r>
      <w:r w:rsidDel="00000000" w:rsidR="00000000" w:rsidRPr="00000000">
        <w:rPr>
          <w:rtl w:val="0"/>
        </w:rPr>
        <w:t xml:space="preserve"> the student lifecycle, engages staff and students, and ensures alignment and consistency across the organisation.</w:t>
      </w:r>
    </w:p>
    <w:p w:rsidR="00000000" w:rsidDel="00000000" w:rsidP="00000000" w:rsidRDefault="00000000" w:rsidRPr="00000000" w14:paraId="0000007C">
      <w:pPr>
        <w:numPr>
          <w:ilvl w:val="1"/>
          <w:numId w:val="2"/>
        </w:numPr>
        <w:ind w:left="1440" w:hanging="360"/>
        <w:rPr>
          <w:rFonts w:ascii="Courier New" w:cs="Courier New" w:eastAsia="Courier New" w:hAnsi="Courier New"/>
        </w:rPr>
      </w:pPr>
      <w:r w:rsidDel="00000000" w:rsidR="00000000" w:rsidRPr="00000000">
        <w:rPr>
          <w:rtl w:val="0"/>
        </w:rPr>
        <w:t xml:space="preserve">Clarity of the aim of the whole provider approach and what systems and structures are in place </w:t>
      </w:r>
      <w:r w:rsidDel="00000000" w:rsidR="00000000" w:rsidRPr="00000000">
        <w:rPr>
          <w:rtl w:val="0"/>
        </w:rPr>
        <w:t xml:space="preserve">or being implemented</w:t>
      </w:r>
      <w:r w:rsidDel="00000000" w:rsidR="00000000" w:rsidRPr="00000000">
        <w:rPr>
          <w:rtl w:val="0"/>
        </w:rPr>
        <w:t xml:space="preserve"> to ensure this will be achieved. </w:t>
      </w:r>
    </w:p>
    <w:p w:rsidR="00000000" w:rsidDel="00000000" w:rsidP="00000000" w:rsidRDefault="00000000" w:rsidRPr="00000000" w14:paraId="0000007D">
      <w:pPr>
        <w:numPr>
          <w:ilvl w:val="1"/>
          <w:numId w:val="2"/>
        </w:numPr>
        <w:ind w:left="1440" w:hanging="360"/>
        <w:rPr>
          <w:rFonts w:ascii="Courier New" w:cs="Courier New" w:eastAsia="Courier New" w:hAnsi="Courier New"/>
        </w:rPr>
      </w:pPr>
      <w:r w:rsidDel="00000000" w:rsidR="00000000" w:rsidRPr="00000000">
        <w:rPr>
          <w:rtl w:val="0"/>
        </w:rPr>
        <w:t xml:space="preserve">How the whole provider approach aims to address risks to equality of opportunity.</w:t>
      </w:r>
    </w:p>
    <w:p w:rsidR="00000000" w:rsidDel="00000000" w:rsidP="00000000" w:rsidRDefault="00000000" w:rsidRPr="00000000" w14:paraId="0000007E">
      <w:pPr>
        <w:numPr>
          <w:ilvl w:val="1"/>
          <w:numId w:val="2"/>
        </w:numPr>
        <w:ind w:left="1440" w:hanging="360"/>
        <w:rPr>
          <w:rFonts w:ascii="Courier New" w:cs="Courier New" w:eastAsia="Courier New" w:hAnsi="Courier New"/>
        </w:rPr>
      </w:pPr>
      <w:r w:rsidDel="00000000" w:rsidR="00000000" w:rsidRPr="00000000">
        <w:rPr>
          <w:rtl w:val="0"/>
        </w:rPr>
        <w:t xml:space="preserve">Information on the process of conceptualising and developing the whole provider approach within the HEP. </w:t>
      </w:r>
    </w:p>
    <w:p w:rsidR="00000000" w:rsidDel="00000000" w:rsidP="00000000" w:rsidRDefault="00000000" w:rsidRPr="00000000" w14:paraId="0000007F">
      <w:pPr>
        <w:numPr>
          <w:ilvl w:val="0"/>
          <w:numId w:val="2"/>
        </w:numPr>
        <w:ind w:left="720" w:hanging="360"/>
        <w:rPr>
          <w:rFonts w:ascii="Noto Sans Symbols" w:cs="Noto Sans Symbols" w:eastAsia="Noto Sans Symbols" w:hAnsi="Noto Sans Symbols"/>
          <w:i w:val="1"/>
        </w:rPr>
      </w:pPr>
      <w:r w:rsidDel="00000000" w:rsidR="00000000" w:rsidRPr="00000000">
        <w:rPr>
          <w:i w:val="1"/>
          <w:rtl w:val="0"/>
        </w:rPr>
        <w:t xml:space="preserve">Relevance/impact of the project (20%)</w:t>
      </w:r>
    </w:p>
    <w:p w:rsidR="00000000" w:rsidDel="00000000" w:rsidP="00000000" w:rsidRDefault="00000000" w:rsidRPr="00000000" w14:paraId="00000080">
      <w:pPr>
        <w:numPr>
          <w:ilvl w:val="1"/>
          <w:numId w:val="2"/>
        </w:numPr>
        <w:ind w:left="1440" w:hanging="360"/>
        <w:rPr>
          <w:rFonts w:ascii="Courier New" w:cs="Courier New" w:eastAsia="Courier New" w:hAnsi="Courier New"/>
        </w:rPr>
      </w:pPr>
      <w:r w:rsidDel="00000000" w:rsidR="00000000" w:rsidRPr="00000000">
        <w:rPr>
          <w:rtl w:val="0"/>
        </w:rPr>
        <w:t xml:space="preserve">Relevance and quality of the whole provider approach that the ToC would be developed for. </w:t>
      </w:r>
    </w:p>
    <w:p w:rsidR="00000000" w:rsidDel="00000000" w:rsidP="00000000" w:rsidRDefault="00000000" w:rsidRPr="00000000" w14:paraId="00000081">
      <w:pPr>
        <w:numPr>
          <w:ilvl w:val="1"/>
          <w:numId w:val="2"/>
        </w:numPr>
        <w:ind w:left="1440" w:hanging="360"/>
        <w:rPr>
          <w:rFonts w:ascii="Courier New" w:cs="Courier New" w:eastAsia="Courier New" w:hAnsi="Courier New"/>
        </w:rPr>
      </w:pPr>
      <w:r w:rsidDel="00000000" w:rsidR="00000000" w:rsidRPr="00000000">
        <w:rPr>
          <w:rtl w:val="0"/>
        </w:rPr>
        <w:t xml:space="preserve">The HEP’s plan to use and implement the ToC beyond the lifecycle of this project.</w:t>
      </w:r>
    </w:p>
    <w:p w:rsidR="00000000" w:rsidDel="00000000" w:rsidP="00000000" w:rsidRDefault="00000000" w:rsidRPr="00000000" w14:paraId="00000082">
      <w:pPr>
        <w:numPr>
          <w:ilvl w:val="0"/>
          <w:numId w:val="2"/>
        </w:numPr>
        <w:ind w:left="720" w:hanging="360"/>
        <w:rPr>
          <w:rFonts w:ascii="Noto Sans Symbols" w:cs="Noto Sans Symbols" w:eastAsia="Noto Sans Symbols" w:hAnsi="Noto Sans Symbols"/>
          <w:i w:val="1"/>
        </w:rPr>
      </w:pPr>
      <w:r w:rsidDel="00000000" w:rsidR="00000000" w:rsidRPr="00000000">
        <w:rPr>
          <w:i w:val="1"/>
          <w:rtl w:val="0"/>
        </w:rPr>
        <w:t xml:space="preserve">Team (40%)</w:t>
      </w:r>
      <w:r w:rsidDel="00000000" w:rsidR="00000000" w:rsidRPr="00000000">
        <w:rPr>
          <w:rtl w:val="0"/>
        </w:rPr>
      </w:r>
    </w:p>
    <w:p w:rsidR="00000000" w:rsidDel="00000000" w:rsidP="00000000" w:rsidRDefault="00000000" w:rsidRPr="00000000" w14:paraId="00000083">
      <w:pPr>
        <w:numPr>
          <w:ilvl w:val="1"/>
          <w:numId w:val="2"/>
        </w:numPr>
        <w:ind w:left="1440" w:hanging="360"/>
        <w:rPr>
          <w:rFonts w:ascii="Courier New" w:cs="Courier New" w:eastAsia="Courier New" w:hAnsi="Courier New"/>
        </w:rPr>
      </w:pPr>
      <w:r w:rsidDel="00000000" w:rsidR="00000000" w:rsidRPr="00000000">
        <w:rPr>
          <w:rtl w:val="0"/>
        </w:rPr>
        <w:t xml:space="preserve">The relevant experience of the project team in developing the whole provider approach and for developing the ToC in collaboration with TASO.</w:t>
      </w:r>
    </w:p>
    <w:p w:rsidR="00000000" w:rsidDel="00000000" w:rsidP="00000000" w:rsidRDefault="00000000" w:rsidRPr="00000000" w14:paraId="00000084">
      <w:pPr>
        <w:numPr>
          <w:ilvl w:val="1"/>
          <w:numId w:val="2"/>
        </w:numPr>
        <w:ind w:left="1440" w:hanging="360"/>
        <w:rPr>
          <w:rFonts w:ascii="Courier New" w:cs="Courier New" w:eastAsia="Courier New" w:hAnsi="Courier New"/>
        </w:rPr>
      </w:pPr>
      <w:r w:rsidDel="00000000" w:rsidR="00000000" w:rsidRPr="00000000">
        <w:rPr>
          <w:rtl w:val="0"/>
        </w:rPr>
        <w:t xml:space="preserve">The team’s commitment to evidence-informed practice. </w:t>
      </w:r>
    </w:p>
    <w:p w:rsidR="00000000" w:rsidDel="00000000" w:rsidP="00000000" w:rsidRDefault="00000000" w:rsidRPr="00000000" w14:paraId="00000085">
      <w:pPr>
        <w:numPr>
          <w:ilvl w:val="1"/>
          <w:numId w:val="2"/>
        </w:numPr>
        <w:ind w:left="1440" w:hanging="360"/>
        <w:rPr>
          <w:rFonts w:ascii="Courier New" w:cs="Courier New" w:eastAsia="Courier New" w:hAnsi="Courier New"/>
        </w:rPr>
      </w:pPr>
      <w:r w:rsidDel="00000000" w:rsidR="00000000" w:rsidRPr="00000000">
        <w:rPr>
          <w:rtl w:val="0"/>
        </w:rPr>
        <w:t xml:space="preserve">The team’s approach to transparency and accountability.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1"/>
        <w:keepLines w:val="1"/>
        <w:spacing w:after="120" w:before="60" w:lineRule="auto"/>
        <w:rPr>
          <w:i w:val="1"/>
          <w:color w:val="434343"/>
          <w:sz w:val="24"/>
          <w:szCs w:val="24"/>
        </w:rPr>
      </w:pPr>
      <w:r w:rsidDel="00000000" w:rsidR="00000000" w:rsidRPr="00000000">
        <w:rPr>
          <w:b w:val="1"/>
          <w:color w:val="3b66bc"/>
          <w:sz w:val="24"/>
          <w:szCs w:val="24"/>
          <w:rtl w:val="0"/>
        </w:rPr>
        <w:t xml:space="preserve">Additional guidance</w:t>
      </w:r>
      <w:r w:rsidDel="00000000" w:rsidR="00000000" w:rsidRPr="00000000">
        <w:rPr>
          <w:rtl w:val="0"/>
        </w:rPr>
      </w:r>
    </w:p>
    <w:p w:rsidR="00000000" w:rsidDel="00000000" w:rsidP="00000000" w:rsidRDefault="00000000" w:rsidRPr="00000000" w14:paraId="00000088">
      <w:pPr>
        <w:numPr>
          <w:ilvl w:val="0"/>
          <w:numId w:val="7"/>
        </w:numPr>
        <w:spacing w:before="60" w:lineRule="auto"/>
        <w:ind w:left="720" w:hanging="360"/>
      </w:pPr>
      <w:r w:rsidDel="00000000" w:rsidR="00000000" w:rsidRPr="00000000">
        <w:rPr>
          <w:rtl w:val="0"/>
        </w:rPr>
        <w:t xml:space="preserve">TASO reserves the right, acting reasonably, to:</w:t>
      </w:r>
    </w:p>
    <w:p w:rsidR="00000000" w:rsidDel="00000000" w:rsidP="00000000" w:rsidRDefault="00000000" w:rsidRPr="00000000" w14:paraId="00000089">
      <w:pPr>
        <w:numPr>
          <w:ilvl w:val="1"/>
          <w:numId w:val="7"/>
        </w:numPr>
        <w:ind w:left="1440" w:hanging="360"/>
      </w:pPr>
      <w:r w:rsidDel="00000000" w:rsidR="00000000" w:rsidRPr="00000000">
        <w:rPr>
          <w:rtl w:val="0"/>
        </w:rPr>
        <w:t xml:space="preserve">Discontinue the award procedure in the absence of appropriate applications;  </w:t>
      </w:r>
    </w:p>
    <w:p w:rsidR="00000000" w:rsidDel="00000000" w:rsidP="00000000" w:rsidRDefault="00000000" w:rsidRPr="00000000" w14:paraId="0000008A">
      <w:pPr>
        <w:numPr>
          <w:ilvl w:val="1"/>
          <w:numId w:val="7"/>
        </w:numPr>
        <w:ind w:left="1440" w:hanging="360"/>
      </w:pPr>
      <w:r w:rsidDel="00000000" w:rsidR="00000000" w:rsidRPr="00000000">
        <w:rPr>
          <w:rtl w:val="0"/>
        </w:rPr>
        <w:t xml:space="preserve">Change the timetable for the procurement of the Contract, and in such circumstances TASO will notify all applicants of any change by the fastest means possible;</w:t>
      </w:r>
    </w:p>
    <w:p w:rsidR="00000000" w:rsidDel="00000000" w:rsidP="00000000" w:rsidRDefault="00000000" w:rsidRPr="00000000" w14:paraId="0000008B">
      <w:pPr>
        <w:numPr>
          <w:ilvl w:val="1"/>
          <w:numId w:val="7"/>
        </w:numPr>
        <w:ind w:left="1440" w:hanging="360"/>
      </w:pPr>
      <w:r w:rsidDel="00000000" w:rsidR="00000000" w:rsidRPr="00000000">
        <w:rPr>
          <w:rtl w:val="0"/>
        </w:rPr>
        <w:t xml:space="preserve">Terminate discussions with organisations which apply; </w:t>
      </w:r>
    </w:p>
    <w:p w:rsidR="00000000" w:rsidDel="00000000" w:rsidP="00000000" w:rsidRDefault="00000000" w:rsidRPr="00000000" w14:paraId="0000008C">
      <w:pPr>
        <w:numPr>
          <w:ilvl w:val="1"/>
          <w:numId w:val="7"/>
        </w:numPr>
        <w:ind w:left="1440" w:hanging="360"/>
      </w:pPr>
      <w:r w:rsidDel="00000000" w:rsidR="00000000" w:rsidRPr="00000000">
        <w:rPr>
          <w:rtl w:val="0"/>
        </w:rPr>
        <w:t xml:space="preserve">Discontinue the procedure leading to the award of the Contract;</w:t>
      </w:r>
    </w:p>
    <w:p w:rsidR="00000000" w:rsidDel="00000000" w:rsidP="00000000" w:rsidRDefault="00000000" w:rsidRPr="00000000" w14:paraId="0000008D">
      <w:pPr>
        <w:numPr>
          <w:ilvl w:val="1"/>
          <w:numId w:val="7"/>
        </w:numPr>
        <w:ind w:left="1440" w:hanging="360"/>
      </w:pPr>
      <w:r w:rsidDel="00000000" w:rsidR="00000000" w:rsidRPr="00000000">
        <w:rPr>
          <w:rtl w:val="0"/>
        </w:rPr>
        <w:t xml:space="preserve">Not to award any Contract at all as a result of this process</w:t>
      </w:r>
    </w:p>
    <w:p w:rsidR="00000000" w:rsidDel="00000000" w:rsidP="00000000" w:rsidRDefault="00000000" w:rsidRPr="00000000" w14:paraId="0000008E">
      <w:pPr>
        <w:numPr>
          <w:ilvl w:val="0"/>
          <w:numId w:val="7"/>
        </w:numPr>
        <w:ind w:left="720" w:hanging="360"/>
      </w:pPr>
      <w:r w:rsidDel="00000000" w:rsidR="00000000" w:rsidRPr="00000000">
        <w:rPr>
          <w:rtl w:val="0"/>
        </w:rPr>
        <w:t xml:space="preserve">Under no circumstances shall TASO incur any liability in respect of any of these actions.</w:t>
      </w:r>
    </w:p>
    <w:p w:rsidR="00000000" w:rsidDel="00000000" w:rsidP="00000000" w:rsidRDefault="00000000" w:rsidRPr="00000000" w14:paraId="0000008F">
      <w:pPr>
        <w:numPr>
          <w:ilvl w:val="0"/>
          <w:numId w:val="7"/>
        </w:numPr>
        <w:ind w:left="720" w:hanging="360"/>
      </w:pPr>
      <w:r w:rsidDel="00000000" w:rsidR="00000000" w:rsidRPr="00000000">
        <w:rPr>
          <w:rtl w:val="0"/>
        </w:rPr>
        <w:t xml:space="preserve">No publicity regarding the project will be permitted until TASO has given express written consent to the relevant communication. No statements may be made to any part of the media regarding the nature of this application, its contents or any proposals relating to it without the prior written consent of TASO.</w:t>
      </w:r>
    </w:p>
    <w:p w:rsidR="00000000" w:rsidDel="00000000" w:rsidP="00000000" w:rsidRDefault="00000000" w:rsidRPr="00000000" w14:paraId="00000090">
      <w:pPr>
        <w:numPr>
          <w:ilvl w:val="0"/>
          <w:numId w:val="7"/>
        </w:numPr>
        <w:ind w:left="720" w:hanging="360"/>
      </w:pPr>
      <w:r w:rsidDel="00000000" w:rsidR="00000000" w:rsidRPr="00000000">
        <w:rPr>
          <w:rtl w:val="0"/>
        </w:rPr>
        <w:t xml:space="preserve">TASO will not reimburse any costs incurred by organisations in connection with preparation of their applications. </w:t>
      </w:r>
    </w:p>
    <w:p w:rsidR="00000000" w:rsidDel="00000000" w:rsidP="00000000" w:rsidRDefault="00000000" w:rsidRPr="00000000" w14:paraId="00000091">
      <w:pPr>
        <w:numPr>
          <w:ilvl w:val="0"/>
          <w:numId w:val="7"/>
        </w:numPr>
        <w:ind w:left="720" w:hanging="360"/>
      </w:pPr>
      <w:r w:rsidDel="00000000" w:rsidR="00000000" w:rsidRPr="00000000">
        <w:rPr>
          <w:rtl w:val="0"/>
        </w:rPr>
        <w:t xml:space="preserve">If you are unsure of the meaning of a question or anything in this call for applications then it is your responsibility to ask TASO to clarify in writing via email (research@taso.org.uk).</w:t>
      </w:r>
    </w:p>
    <w:p w:rsidR="00000000" w:rsidDel="00000000" w:rsidP="00000000" w:rsidRDefault="00000000" w:rsidRPr="00000000" w14:paraId="00000092">
      <w:pPr>
        <w:numPr>
          <w:ilvl w:val="0"/>
          <w:numId w:val="7"/>
        </w:numPr>
        <w:ind w:left="720" w:hanging="360"/>
      </w:pPr>
      <w:r w:rsidDel="00000000" w:rsidR="00000000" w:rsidRPr="00000000">
        <w:rPr>
          <w:rtl w:val="0"/>
        </w:rPr>
        <w:t xml:space="preserve">TASO will aim to answer clarification questions within five (5) working days, but does not undertake to do so. TASO may also decline to answer a question if it deems the question to be inappropriate. If TASO is unable to answer a question, this will be communicated.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lineRule="auto"/>
        <w:ind w:left="0" w:firstLine="0"/>
        <w:rPr>
          <w:b w:val="1"/>
          <w:color w:val="3b66bc"/>
          <w:sz w:val="36"/>
          <w:szCs w:val="36"/>
        </w:rPr>
      </w:pPr>
      <w:r w:rsidDel="00000000" w:rsidR="00000000" w:rsidRPr="00000000">
        <w:rPr>
          <w:b w:val="1"/>
          <w:color w:val="3b66bc"/>
          <w:sz w:val="36"/>
          <w:szCs w:val="36"/>
          <w:rtl w:val="0"/>
        </w:rPr>
        <w:t xml:space="preserve">Expression of Interest Form</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60" w:lineRule="auto"/>
        <w:ind w:left="66" w:firstLine="0"/>
        <w:rPr/>
      </w:pPr>
      <w:r w:rsidDel="00000000" w:rsidR="00000000" w:rsidRPr="00000000">
        <w:rPr>
          <w:color w:val="000000"/>
          <w:rtl w:val="0"/>
        </w:rPr>
        <w:t xml:space="preserve">Please note that hyperlinks to web-based information will not be accepted, and, if included, will not be evaluated</w:t>
      </w:r>
      <w:r w:rsidDel="00000000" w:rsidR="00000000" w:rsidRPr="00000000">
        <w:rPr>
          <w:rtl w:val="0"/>
        </w:rPr>
        <w:t xml:space="preserve">, </w:t>
      </w:r>
      <w:r w:rsidDel="00000000" w:rsidR="00000000" w:rsidRPr="00000000">
        <w:rPr>
          <w:b w:val="1"/>
          <w:color w:val="000000"/>
          <w:rtl w:val="0"/>
        </w:rPr>
        <w:t xml:space="preserve">except for links to the APP in section A</w:t>
      </w:r>
      <w:r w:rsidDel="00000000" w:rsidR="00000000" w:rsidRPr="00000000">
        <w:rPr>
          <w:color w:val="000000"/>
          <w:rtl w:val="0"/>
        </w:rPr>
        <w:t xml:space="preserve">.</w:t>
      </w:r>
      <w:r w:rsidDel="00000000" w:rsidR="00000000" w:rsidRPr="00000000">
        <w:rPr>
          <w:rtl w:val="0"/>
        </w:rPr>
      </w:r>
    </w:p>
    <w:sdt>
      <w:sdtPr>
        <w:lock w:val="contentLocked"/>
        <w:tag w:val="goog_rdk_1"/>
      </w:sdtPr>
      <w:sdtContent>
        <w:tbl>
          <w:tblPr>
            <w:tblStyle w:val="Table3"/>
            <w:tblW w:w="9350.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803"/>
            <w:tblGridChange w:id="0">
              <w:tblGrid>
                <w:gridCol w:w="2547"/>
                <w:gridCol w:w="68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A6">
                <w:pPr>
                  <w:keepNext w:val="1"/>
                  <w:tabs>
                    <w:tab w:val="left" w:leader="none" w:pos="1575"/>
                  </w:tabs>
                  <w:spacing w:after="100" w:before="60" w:line="264" w:lineRule="auto"/>
                  <w:rPr>
                    <w:b w:val="1"/>
                    <w:sz w:val="24"/>
                    <w:szCs w:val="24"/>
                  </w:rPr>
                </w:pPr>
                <w:r w:rsidDel="00000000" w:rsidR="00000000" w:rsidRPr="00000000">
                  <w:rPr>
                    <w:b w:val="1"/>
                    <w:sz w:val="24"/>
                    <w:szCs w:val="24"/>
                    <w:rtl w:val="0"/>
                  </w:rPr>
                  <w:t xml:space="preserve">Data Protection Notice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7">
                <w:pPr>
                  <w:keepNext w:val="1"/>
                  <w:spacing w:before="60" w:line="264" w:lineRule="auto"/>
                  <w:ind w:right="100"/>
                  <w:jc w:val="both"/>
                  <w:rPr>
                    <w:color w:val="0e101a"/>
                  </w:rPr>
                </w:pPr>
                <w:r w:rsidDel="00000000" w:rsidR="00000000" w:rsidRPr="00000000">
                  <w:rPr>
                    <w:color w:val="0e101a"/>
                    <w:rtl w:val="0"/>
                  </w:rPr>
                  <w:t xml:space="preserve">Please read TASO’s </w:t>
                </w:r>
                <w:hyperlink r:id="rId26">
                  <w:r w:rsidDel="00000000" w:rsidR="00000000" w:rsidRPr="00000000">
                    <w:rPr>
                      <w:color w:val="1155cc"/>
                      <w:u w:val="single"/>
                      <w:rtl w:val="0"/>
                    </w:rPr>
                    <w:t xml:space="preserve">Data Protection Notice</w:t>
                  </w:r>
                </w:hyperlink>
                <w:r w:rsidDel="00000000" w:rsidR="00000000" w:rsidRPr="00000000">
                  <w:rPr>
                    <w:color w:val="0e101a"/>
                    <w:rtl w:val="0"/>
                  </w:rPr>
                  <w:t xml:space="preserve"> before submitting your application.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00.0" w:type="dxa"/>
                  <w:left w:w="100.0" w:type="dxa"/>
                  <w:bottom w:w="100.0" w:type="dxa"/>
                  <w:right w:w="100.0" w:type="dxa"/>
                </w:tcMar>
              </w:tcPr>
              <w:p w:rsidR="00000000" w:rsidDel="00000000" w:rsidP="00000000" w:rsidRDefault="00000000" w:rsidRPr="00000000" w14:paraId="000000A8">
                <w:pPr>
                  <w:keepNext w:val="1"/>
                  <w:tabs>
                    <w:tab w:val="left" w:leader="none" w:pos="1575"/>
                  </w:tabs>
                  <w:spacing w:after="100" w:before="60" w:line="264" w:lineRule="auto"/>
                  <w:rPr>
                    <w:b w:val="1"/>
                    <w:sz w:val="24"/>
                    <w:szCs w:val="24"/>
                  </w:rPr>
                </w:pPr>
                <w:r w:rsidDel="00000000" w:rsidR="00000000" w:rsidRPr="00000000">
                  <w:rPr>
                    <w:b w:val="1"/>
                    <w:sz w:val="24"/>
                    <w:szCs w:val="24"/>
                    <w:rtl w:val="0"/>
                  </w:rPr>
                  <w:t xml:space="preserve">Data Protection Notice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9">
                <w:pPr>
                  <w:keepNext w:val="1"/>
                  <w:spacing w:before="60" w:line="264" w:lineRule="auto"/>
                  <w:ind w:right="100"/>
                  <w:jc w:val="both"/>
                  <w:rPr>
                    <w:color w:val="0e101a"/>
                  </w:rPr>
                </w:pPr>
                <w:r w:rsidDel="00000000" w:rsidR="00000000" w:rsidRPr="00000000">
                  <w:rPr>
                    <w:color w:val="0e101a"/>
                    <w:rtl w:val="0"/>
                  </w:rPr>
                  <w:t xml:space="preserve">Do you confirm that you have read and understood the</w:t>
                </w:r>
                <w:hyperlink r:id="rId27">
                  <w:r w:rsidDel="00000000" w:rsidR="00000000" w:rsidRPr="00000000">
                    <w:rPr>
                      <w:color w:val="1155cc"/>
                      <w:u w:val="single"/>
                      <w:rtl w:val="0"/>
                    </w:rPr>
                    <w:t xml:space="preserve"> Data Protection Notice</w:t>
                  </w:r>
                </w:hyperlink>
                <w:r w:rsidDel="00000000" w:rsidR="00000000" w:rsidRPr="00000000">
                  <w:rPr>
                    <w:color w:val="0e101a"/>
                    <w:rtl w:val="0"/>
                  </w:rPr>
                  <w:t xml:space="preserve">?</w:t>
                </w:r>
              </w:p>
              <w:p w:rsidR="00000000" w:rsidDel="00000000" w:rsidP="00000000" w:rsidRDefault="00000000" w:rsidRPr="00000000" w14:paraId="000000AA">
                <w:pPr>
                  <w:keepNext w:val="1"/>
                  <w:spacing w:before="60" w:line="264" w:lineRule="auto"/>
                  <w:ind w:right="100"/>
                  <w:jc w:val="both"/>
                  <w:rPr>
                    <w:color w:val="0e101a"/>
                  </w:rPr>
                </w:pPr>
                <w:r w:rsidDel="00000000" w:rsidR="00000000" w:rsidRPr="00000000">
                  <w:rPr>
                    <w:color w:val="0e101a"/>
                    <w:rtl w:val="0"/>
                  </w:rPr>
                  <w:t xml:space="preserve">Yes</w:t>
                </w:r>
              </w:p>
              <w:p w:rsidR="00000000" w:rsidDel="00000000" w:rsidP="00000000" w:rsidRDefault="00000000" w:rsidRPr="00000000" w14:paraId="000000AB">
                <w:pPr>
                  <w:keepNext w:val="1"/>
                  <w:spacing w:before="60" w:line="264" w:lineRule="auto"/>
                  <w:ind w:right="100"/>
                  <w:jc w:val="both"/>
                  <w:rPr>
                    <w:color w:val="0e101a"/>
                  </w:rPr>
                </w:pPr>
                <w:r w:rsidDel="00000000" w:rsidR="00000000" w:rsidRPr="00000000">
                  <w:rPr>
                    <w:color w:val="0e101a"/>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C">
                <w:pPr>
                  <w:keepNext w:val="1"/>
                  <w:tabs>
                    <w:tab w:val="left" w:leader="none" w:pos="1575"/>
                  </w:tabs>
                  <w:spacing w:line="240" w:lineRule="auto"/>
                  <w:rPr>
                    <w:b w:val="1"/>
                    <w:sz w:val="24"/>
                    <w:szCs w:val="24"/>
                  </w:rPr>
                </w:pPr>
                <w:r w:rsidDel="00000000" w:rsidR="00000000" w:rsidRPr="00000000">
                  <w:rPr>
                    <w:b w:val="1"/>
                    <w:sz w:val="24"/>
                    <w:szCs w:val="24"/>
                    <w:rtl w:val="0"/>
                  </w:rPr>
                  <w:t xml:space="preserve">Organisation/</w:t>
                </w:r>
              </w:p>
              <w:p w:rsidR="00000000" w:rsidDel="00000000" w:rsidP="00000000" w:rsidRDefault="00000000" w:rsidRPr="00000000" w14:paraId="000000AD">
                <w:pPr>
                  <w:keepNext w:val="1"/>
                  <w:tabs>
                    <w:tab w:val="left" w:leader="none" w:pos="1575"/>
                  </w:tabs>
                  <w:spacing w:line="240" w:lineRule="auto"/>
                  <w:rPr>
                    <w:b w:val="1"/>
                    <w:sz w:val="24"/>
                    <w:szCs w:val="24"/>
                  </w:rPr>
                </w:pPr>
                <w:r w:rsidDel="00000000" w:rsidR="00000000" w:rsidRPr="00000000">
                  <w:rPr>
                    <w:b w:val="1"/>
                    <w:sz w:val="24"/>
                    <w:szCs w:val="24"/>
                    <w:rtl w:val="0"/>
                  </w:rPr>
                  <w:t xml:space="preserve">provider name</w:t>
                </w:r>
              </w:p>
              <w:p w:rsidR="00000000" w:rsidDel="00000000" w:rsidP="00000000" w:rsidRDefault="00000000" w:rsidRPr="00000000" w14:paraId="000000AE">
                <w:pPr>
                  <w:keepNext w:val="1"/>
                  <w:tabs>
                    <w:tab w:val="left" w:leader="none" w:pos="1575"/>
                  </w:tabs>
                  <w:spacing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1"/>
                  <w:spacing w:after="120" w:before="60" w:line="240" w:lineRule="auto"/>
                  <w:rPr>
                    <w:b w:val="1"/>
                    <w:color w:val="3b66bc"/>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0">
                <w:pPr>
                  <w:tabs>
                    <w:tab w:val="left" w:leader="none" w:pos="1575"/>
                  </w:tabs>
                  <w:spacing w:after="100" w:before="60" w:line="264" w:lineRule="auto"/>
                  <w:rPr>
                    <w:b w:val="1"/>
                    <w:sz w:val="24"/>
                    <w:szCs w:val="24"/>
                  </w:rPr>
                </w:pPr>
                <w:r w:rsidDel="00000000" w:rsidR="00000000" w:rsidRPr="00000000">
                  <w:rPr>
                    <w:b w:val="1"/>
                    <w:sz w:val="24"/>
                    <w:szCs w:val="24"/>
                    <w:rtl w:val="0"/>
                  </w:rPr>
                  <w:t xml:space="preserve">Contact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120" w:before="60" w:line="240" w:lineRule="auto"/>
                  <w:rPr>
                    <w:b w:val="1"/>
                    <w:color w:val="3b66bc"/>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2">
                <w:pPr>
                  <w:tabs>
                    <w:tab w:val="left" w:leader="none" w:pos="1575"/>
                  </w:tabs>
                  <w:spacing w:after="100" w:before="60" w:line="264" w:lineRule="auto"/>
                  <w:rPr>
                    <w:b w:val="1"/>
                    <w:sz w:val="24"/>
                    <w:szCs w:val="24"/>
                  </w:rPr>
                </w:pPr>
                <w:bookmarkStart w:colFirst="0" w:colLast="0" w:name="_heading=h.30j0zll" w:id="6"/>
                <w:bookmarkEnd w:id="6"/>
                <w:r w:rsidDel="00000000" w:rsidR="00000000" w:rsidRPr="00000000">
                  <w:rPr>
                    <w:b w:val="1"/>
                    <w:sz w:val="24"/>
                    <w:szCs w:val="24"/>
                    <w:rtl w:val="0"/>
                  </w:rPr>
                  <w:t xml:space="preserve">Contact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120" w:before="60" w:line="240" w:lineRule="auto"/>
                  <w:rPr>
                    <w:b w:val="1"/>
                    <w:color w:val="3b66bc"/>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4">
                <w:pPr>
                  <w:spacing w:after="100" w:before="60" w:line="264" w:lineRule="auto"/>
                  <w:rPr>
                    <w:b w:val="1"/>
                    <w:sz w:val="24"/>
                    <w:szCs w:val="24"/>
                  </w:rPr>
                </w:pPr>
                <w:r w:rsidDel="00000000" w:rsidR="00000000" w:rsidRPr="00000000">
                  <w:rPr>
                    <w:b w:val="1"/>
                    <w:sz w:val="24"/>
                    <w:szCs w:val="24"/>
                    <w:rtl w:val="0"/>
                  </w:rPr>
                  <w:t xml:space="preserve">Contact telephone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120" w:before="60" w:line="240" w:lineRule="auto"/>
                  <w:rPr>
                    <w:b w:val="1"/>
                    <w:color w:val="3b66bc"/>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6">
                <w:pPr>
                  <w:spacing w:after="100" w:before="60" w:line="264" w:lineRule="auto"/>
                  <w:rPr>
                    <w:b w:val="1"/>
                    <w:sz w:val="24"/>
                    <w:szCs w:val="24"/>
                  </w:rPr>
                </w:pPr>
                <w:r w:rsidDel="00000000" w:rsidR="00000000" w:rsidRPr="00000000">
                  <w:rPr>
                    <w:b w:val="1"/>
                    <w:sz w:val="24"/>
                    <w:szCs w:val="24"/>
                    <w:rtl w:val="0"/>
                  </w:rPr>
                  <w:t xml:space="preserve">Where did you hear about this open call?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120" w:before="60" w:line="240" w:lineRule="auto"/>
                  <w:rPr>
                    <w:b w:val="1"/>
                    <w:color w:val="3b66bc"/>
                    <w:sz w:val="24"/>
                    <w:szCs w:val="24"/>
                  </w:rPr>
                </w:pPr>
                <w:r w:rsidDel="00000000" w:rsidR="00000000" w:rsidRPr="00000000">
                  <w:rPr>
                    <w:rtl w:val="0"/>
                  </w:rPr>
                </w:r>
              </w:p>
            </w:tc>
          </w:tr>
          <w:tr>
            <w:trPr>
              <w:cantSplit w:val="0"/>
              <w:tblHeader w:val="0"/>
            </w:trPr>
            <w:tc>
              <w:tcPr>
                <w:gridSpan w:val="2"/>
                <w:tcBorders>
                  <w:top w:color="000000" w:space="0" w:sz="4" w:val="single"/>
                </w:tcBorders>
                <w:shd w:fill="d6e0f2" w:val="clear"/>
              </w:tcPr>
              <w:p w:rsidR="00000000" w:rsidDel="00000000" w:rsidP="00000000" w:rsidRDefault="00000000" w:rsidRPr="00000000" w14:paraId="000000B8">
                <w:pPr>
                  <w:spacing w:after="100" w:before="60" w:line="264" w:lineRule="auto"/>
                  <w:rPr>
                    <w:b w:val="1"/>
                    <w:sz w:val="36"/>
                    <w:szCs w:val="36"/>
                  </w:rPr>
                </w:pPr>
                <w:r w:rsidDel="00000000" w:rsidR="00000000" w:rsidRPr="00000000">
                  <w:rPr>
                    <w:b w:val="1"/>
                    <w:sz w:val="36"/>
                    <w:szCs w:val="36"/>
                    <w:rtl w:val="0"/>
                  </w:rPr>
                  <w:t xml:space="preserve">SECTION A: Whole provider a</w:t>
                </w:r>
                <w:r w:rsidDel="00000000" w:rsidR="00000000" w:rsidRPr="00000000">
                  <w:rPr>
                    <w:b w:val="1"/>
                    <w:sz w:val="36"/>
                    <w:szCs w:val="36"/>
                    <w:rtl w:val="0"/>
                  </w:rPr>
                  <w:t xml:space="preserve">pproach</w:t>
                </w:r>
                <w:r w:rsidDel="00000000" w:rsidR="00000000" w:rsidRPr="00000000">
                  <w:rPr>
                    <w:rtl w:val="0"/>
                  </w:rPr>
                </w:r>
              </w:p>
              <w:p w:rsidR="00000000" w:rsidDel="00000000" w:rsidP="00000000" w:rsidRDefault="00000000" w:rsidRPr="00000000" w14:paraId="000000B9">
                <w:pPr>
                  <w:spacing w:after="120" w:before="60" w:line="240" w:lineRule="auto"/>
                  <w:rPr>
                    <w:i w:val="1"/>
                    <w:sz w:val="20"/>
                    <w:szCs w:val="20"/>
                  </w:rPr>
                </w:pPr>
                <w:r w:rsidDel="00000000" w:rsidR="00000000" w:rsidRPr="00000000">
                  <w:rPr>
                    <w:i w:val="1"/>
                    <w:sz w:val="20"/>
                    <w:szCs w:val="20"/>
                    <w:rtl w:val="0"/>
                  </w:rPr>
                  <w:t xml:space="preserve">Please provide details on your institutions’ whole provider approach that you would be developing the ToC for:</w:t>
                </w:r>
              </w:p>
              <w:p w:rsidR="00000000" w:rsidDel="00000000" w:rsidP="00000000" w:rsidRDefault="00000000" w:rsidRPr="00000000" w14:paraId="000000BA">
                <w:pPr>
                  <w:numPr>
                    <w:ilvl w:val="0"/>
                    <w:numId w:val="3"/>
                  </w:numPr>
                  <w:spacing w:line="240" w:lineRule="auto"/>
                  <w:ind w:left="720" w:hanging="360"/>
                  <w:rPr>
                    <w:i w:val="1"/>
                    <w:sz w:val="20"/>
                    <w:szCs w:val="20"/>
                  </w:rPr>
                </w:pPr>
                <w:r w:rsidDel="00000000" w:rsidR="00000000" w:rsidRPr="00000000">
                  <w:rPr>
                    <w:i w:val="1"/>
                    <w:sz w:val="20"/>
                    <w:szCs w:val="20"/>
                    <w:rtl w:val="0"/>
                  </w:rPr>
                  <w:t xml:space="preserve">How the whole provider approach was conceptualised and developed within the HEP, including which stakeholders were involved.</w:t>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0"/>
                    <w:szCs w:val="20"/>
                  </w:rPr>
                </w:pPr>
                <w:r w:rsidDel="00000000" w:rsidR="00000000" w:rsidRPr="00000000">
                  <w:rPr>
                    <w:i w:val="1"/>
                    <w:sz w:val="20"/>
                    <w:szCs w:val="20"/>
                    <w:rtl w:val="0"/>
                  </w:rPr>
                  <w:t xml:space="preserve">Key activities and initiatives included in the whole provider approach and how they contribute to or are integrated into an overarching whole provider approach.</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0"/>
                    <w:szCs w:val="20"/>
                    <w:u w:val="none"/>
                  </w:rPr>
                </w:pPr>
                <w:r w:rsidDel="00000000" w:rsidR="00000000" w:rsidRPr="00000000">
                  <w:rPr>
                    <w:i w:val="1"/>
                    <w:sz w:val="20"/>
                    <w:szCs w:val="20"/>
                    <w:rtl w:val="0"/>
                  </w:rPr>
                  <w:t xml:space="preserve">How the whole provider approach spans the student lifecycle, engages staff and students, and ensures alignment and consistency across the organisation.</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0"/>
                    <w:szCs w:val="20"/>
                  </w:rPr>
                </w:pPr>
                <w:r w:rsidDel="00000000" w:rsidR="00000000" w:rsidRPr="00000000">
                  <w:rPr>
                    <w:i w:val="1"/>
                    <w:sz w:val="20"/>
                    <w:szCs w:val="20"/>
                    <w:rtl w:val="0"/>
                  </w:rPr>
                  <w:t xml:space="preserve">What systems, processes, leadership and accountabilities are in place or are being implemented to deliver the whole provider approach.</w:t>
                </w:r>
                <w:r w:rsidDel="00000000" w:rsidR="00000000" w:rsidRPr="00000000">
                  <w:rPr>
                    <w:rtl w:val="0"/>
                  </w:rPr>
                </w:r>
              </w:p>
              <w:p w:rsidR="00000000" w:rsidDel="00000000" w:rsidP="00000000" w:rsidRDefault="00000000" w:rsidRPr="00000000" w14:paraId="000000BE">
                <w:pPr>
                  <w:numPr>
                    <w:ilvl w:val="0"/>
                    <w:numId w:val="3"/>
                  </w:numPr>
                  <w:spacing w:line="240" w:lineRule="auto"/>
                  <w:ind w:left="720" w:hanging="360"/>
                  <w:rPr>
                    <w:i w:val="1"/>
                    <w:sz w:val="20"/>
                    <w:szCs w:val="20"/>
                  </w:rPr>
                </w:pPr>
                <w:r w:rsidDel="00000000" w:rsidR="00000000" w:rsidRPr="00000000">
                  <w:rPr>
                    <w:i w:val="1"/>
                    <w:sz w:val="20"/>
                    <w:szCs w:val="20"/>
                    <w:rtl w:val="0"/>
                  </w:rPr>
                  <w:t xml:space="preserve">How the whole provider approach aims to reduce risks to equality of opportunity across the student lifecycle.</w:t>
                </w:r>
              </w:p>
              <w:p w:rsidR="00000000" w:rsidDel="00000000" w:rsidP="00000000" w:rsidRDefault="00000000" w:rsidRPr="00000000" w14:paraId="000000BF">
                <w:pPr>
                  <w:numPr>
                    <w:ilvl w:val="0"/>
                    <w:numId w:val="3"/>
                  </w:numPr>
                  <w:spacing w:line="240" w:lineRule="auto"/>
                  <w:ind w:left="720" w:hanging="360"/>
                  <w:rPr>
                    <w:i w:val="1"/>
                    <w:sz w:val="20"/>
                    <w:szCs w:val="20"/>
                  </w:rPr>
                </w:pPr>
                <w:r w:rsidDel="00000000" w:rsidR="00000000" w:rsidRPr="00000000">
                  <w:rPr>
                    <w:i w:val="1"/>
                    <w:sz w:val="20"/>
                    <w:szCs w:val="20"/>
                    <w:rtl w:val="0"/>
                  </w:rPr>
                  <w:t xml:space="preserve">Link to your APP with page reference to the whole provider approach </w:t>
                </w:r>
                <w:r w:rsidDel="00000000" w:rsidR="00000000" w:rsidRPr="00000000">
                  <w:rPr>
                    <w:i w:val="1"/>
                    <w:sz w:val="20"/>
                    <w:szCs w:val="20"/>
                    <w:rtl w:val="0"/>
                  </w:rPr>
                  <w:t xml:space="preserve">section</w:t>
                </w:r>
                <w:r w:rsidDel="00000000" w:rsidR="00000000" w:rsidRPr="00000000">
                  <w:rPr>
                    <w:i w:val="1"/>
                    <w:sz w:val="20"/>
                    <w:szCs w:val="20"/>
                    <w:rtl w:val="0"/>
                  </w:rPr>
                  <w:t xml:space="preserve">.</w:t>
                </w:r>
              </w:p>
              <w:p w:rsidR="00000000" w:rsidDel="00000000" w:rsidP="00000000" w:rsidRDefault="00000000" w:rsidRPr="00000000" w14:paraId="000000C0">
                <w:pPr>
                  <w:spacing w:after="120" w:before="60" w:line="240" w:lineRule="auto"/>
                  <w:rPr>
                    <w:b w:val="1"/>
                    <w:sz w:val="24"/>
                    <w:szCs w:val="24"/>
                  </w:rPr>
                </w:pPr>
                <w:r w:rsidDel="00000000" w:rsidR="00000000" w:rsidRPr="00000000">
                  <w:rPr>
                    <w:i w:val="1"/>
                    <w:sz w:val="20"/>
                    <w:szCs w:val="20"/>
                    <w:rtl w:val="0"/>
                  </w:rPr>
                  <w:t xml:space="preserve">[700 words max]</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C2">
                <w:pPr>
                  <w:spacing w:after="100" w:before="60" w:line="264" w:lineRule="auto"/>
                  <w:rPr>
                    <w:b w:val="1"/>
                    <w:sz w:val="24"/>
                    <w:szCs w:val="24"/>
                  </w:rPr>
                </w:pPr>
                <w:r w:rsidDel="00000000" w:rsidR="00000000" w:rsidRPr="00000000">
                  <w:rPr>
                    <w:rtl w:val="0"/>
                  </w:rPr>
                </w:r>
              </w:p>
              <w:p w:rsidR="00000000" w:rsidDel="00000000" w:rsidP="00000000" w:rsidRDefault="00000000" w:rsidRPr="00000000" w14:paraId="000000C3">
                <w:pPr>
                  <w:spacing w:after="100" w:before="60" w:line="264" w:lineRule="auto"/>
                  <w:rPr>
                    <w:b w:val="1"/>
                    <w:sz w:val="24"/>
                    <w:szCs w:val="24"/>
                  </w:rPr>
                </w:pPr>
                <w:r w:rsidDel="00000000" w:rsidR="00000000" w:rsidRPr="00000000">
                  <w:rPr>
                    <w:rtl w:val="0"/>
                  </w:rPr>
                </w:r>
              </w:p>
              <w:p w:rsidR="00000000" w:rsidDel="00000000" w:rsidP="00000000" w:rsidRDefault="00000000" w:rsidRPr="00000000" w14:paraId="000000C4">
                <w:pPr>
                  <w:spacing w:after="120" w:before="60" w:line="240" w:lineRule="auto"/>
                  <w:rPr>
                    <w:rFonts w:ascii="MS Gothic" w:cs="MS Gothic" w:eastAsia="MS Gothic" w:hAnsi="MS Gothic"/>
                    <w:b w:val="1"/>
                    <w:sz w:val="24"/>
                    <w:szCs w:val="24"/>
                  </w:rPr>
                </w:pPr>
                <w:r w:rsidDel="00000000" w:rsidR="00000000" w:rsidRPr="00000000">
                  <w:rPr>
                    <w:rtl w:val="0"/>
                  </w:rPr>
                </w:r>
              </w:p>
            </w:tc>
          </w:tr>
          <w:tr>
            <w:trPr>
              <w:cantSplit w:val="0"/>
              <w:tblHeader w:val="0"/>
            </w:trPr>
            <w:tc>
              <w:tcPr>
                <w:gridSpan w:val="2"/>
                <w:shd w:fill="d6e0f2" w:val="clear"/>
              </w:tcPr>
              <w:p w:rsidR="00000000" w:rsidDel="00000000" w:rsidP="00000000" w:rsidRDefault="00000000" w:rsidRPr="00000000" w14:paraId="000000C6">
                <w:pPr>
                  <w:spacing w:after="120" w:before="60" w:line="240" w:lineRule="auto"/>
                  <w:rPr>
                    <w:b w:val="1"/>
                    <w:sz w:val="36"/>
                    <w:szCs w:val="36"/>
                  </w:rPr>
                </w:pPr>
                <w:r w:rsidDel="00000000" w:rsidR="00000000" w:rsidRPr="00000000">
                  <w:rPr>
                    <w:b w:val="1"/>
                    <w:sz w:val="36"/>
                    <w:szCs w:val="36"/>
                    <w:rtl w:val="0"/>
                  </w:rPr>
                  <w:t xml:space="preserve">SECTION B: Relevance/impact</w:t>
                </w:r>
              </w:p>
              <w:p w:rsidR="00000000" w:rsidDel="00000000" w:rsidP="00000000" w:rsidRDefault="00000000" w:rsidRPr="00000000" w14:paraId="000000C7">
                <w:pPr>
                  <w:spacing w:after="120" w:before="60" w:line="240" w:lineRule="auto"/>
                  <w:rPr>
                    <w:i w:val="1"/>
                    <w:sz w:val="20"/>
                    <w:szCs w:val="20"/>
                  </w:rPr>
                </w:pPr>
                <w:r w:rsidDel="00000000" w:rsidR="00000000" w:rsidRPr="00000000">
                  <w:rPr>
                    <w:i w:val="1"/>
                    <w:sz w:val="20"/>
                    <w:szCs w:val="20"/>
                    <w:rtl w:val="0"/>
                  </w:rPr>
                  <w:t xml:space="preserve">Please provide details on:</w:t>
                </w:r>
              </w:p>
              <w:p w:rsidR="00000000" w:rsidDel="00000000" w:rsidP="00000000" w:rsidRDefault="00000000" w:rsidRPr="00000000" w14:paraId="000000C8">
                <w:pPr>
                  <w:numPr>
                    <w:ilvl w:val="0"/>
                    <w:numId w:val="1"/>
                  </w:numPr>
                  <w:spacing w:before="60" w:line="240" w:lineRule="auto"/>
                  <w:ind w:left="1080" w:hanging="360"/>
                  <w:rPr>
                    <w:i w:val="1"/>
                    <w:sz w:val="20"/>
                    <w:szCs w:val="20"/>
                  </w:rPr>
                </w:pPr>
                <w:r w:rsidDel="00000000" w:rsidR="00000000" w:rsidRPr="00000000">
                  <w:rPr>
                    <w:i w:val="1"/>
                    <w:sz w:val="20"/>
                    <w:szCs w:val="20"/>
                    <w:rtl w:val="0"/>
                  </w:rPr>
                  <w:t xml:space="preserve">The relevance of the whole provider approach for your provider and the wider sector.</w:t>
                </w:r>
              </w:p>
              <w:p w:rsidR="00000000" w:rsidDel="00000000" w:rsidP="00000000" w:rsidRDefault="00000000" w:rsidRPr="00000000" w14:paraId="000000C9">
                <w:pPr>
                  <w:numPr>
                    <w:ilvl w:val="0"/>
                    <w:numId w:val="1"/>
                  </w:numPr>
                  <w:spacing w:before="60" w:line="240" w:lineRule="auto"/>
                  <w:ind w:left="1080" w:hanging="360"/>
                  <w:rPr>
                    <w:i w:val="1"/>
                    <w:sz w:val="20"/>
                    <w:szCs w:val="20"/>
                  </w:rPr>
                </w:pPr>
                <w:r w:rsidDel="00000000" w:rsidR="00000000" w:rsidRPr="00000000">
                  <w:rPr>
                    <w:i w:val="1"/>
                    <w:sz w:val="20"/>
                    <w:szCs w:val="20"/>
                    <w:rtl w:val="0"/>
                  </w:rPr>
                  <w:t xml:space="preserve">Future plans for use/implementation of the ToC.</w:t>
                </w:r>
              </w:p>
              <w:p w:rsidR="00000000" w:rsidDel="00000000" w:rsidP="00000000" w:rsidRDefault="00000000" w:rsidRPr="00000000" w14:paraId="000000CA">
                <w:pPr>
                  <w:spacing w:after="120" w:line="240" w:lineRule="auto"/>
                  <w:rPr>
                    <w:i w:val="1"/>
                    <w:sz w:val="20"/>
                    <w:szCs w:val="20"/>
                  </w:rPr>
                </w:pPr>
                <w:r w:rsidDel="00000000" w:rsidR="00000000" w:rsidRPr="00000000">
                  <w:rPr>
                    <w:i w:val="1"/>
                    <w:sz w:val="20"/>
                    <w:szCs w:val="20"/>
                    <w:rtl w:val="0"/>
                  </w:rPr>
                  <w:t xml:space="preserve">[500 words max]</w:t>
                </w:r>
              </w:p>
            </w:tc>
          </w:tr>
          <w:tr>
            <w:trPr>
              <w:cantSplit w:val="0"/>
              <w:tblHeader w:val="0"/>
            </w:trPr>
            <w:tc>
              <w:tcPr>
                <w:gridSpan w:val="2"/>
                <w:shd w:fill="auto" w:val="clear"/>
              </w:tcPr>
              <w:p w:rsidR="00000000" w:rsidDel="00000000" w:rsidP="00000000" w:rsidRDefault="00000000" w:rsidRPr="00000000" w14:paraId="000000CC">
                <w:pPr>
                  <w:spacing w:after="120" w:before="60" w:line="240" w:lineRule="auto"/>
                  <w:rPr>
                    <w:b w:val="1"/>
                    <w:sz w:val="24"/>
                    <w:szCs w:val="24"/>
                  </w:rPr>
                </w:pPr>
                <w:r w:rsidDel="00000000" w:rsidR="00000000" w:rsidRPr="00000000">
                  <w:rPr>
                    <w:rtl w:val="0"/>
                  </w:rPr>
                </w:r>
              </w:p>
              <w:p w:rsidR="00000000" w:rsidDel="00000000" w:rsidP="00000000" w:rsidRDefault="00000000" w:rsidRPr="00000000" w14:paraId="000000CD">
                <w:pPr>
                  <w:spacing w:after="120" w:before="60" w:line="240" w:lineRule="auto"/>
                  <w:rPr>
                    <w:b w:val="1"/>
                    <w:sz w:val="24"/>
                    <w:szCs w:val="24"/>
                  </w:rPr>
                </w:pPr>
                <w:r w:rsidDel="00000000" w:rsidR="00000000" w:rsidRPr="00000000">
                  <w:rPr>
                    <w:rtl w:val="0"/>
                  </w:rPr>
                </w:r>
              </w:p>
              <w:p w:rsidR="00000000" w:rsidDel="00000000" w:rsidP="00000000" w:rsidRDefault="00000000" w:rsidRPr="00000000" w14:paraId="000000CE">
                <w:pPr>
                  <w:spacing w:after="120" w:before="60" w:line="240" w:lineRule="auto"/>
                  <w:rPr>
                    <w:b w:val="1"/>
                    <w:sz w:val="24"/>
                    <w:szCs w:val="24"/>
                  </w:rPr>
                </w:pPr>
                <w:r w:rsidDel="00000000" w:rsidR="00000000" w:rsidRPr="00000000">
                  <w:rPr>
                    <w:rtl w:val="0"/>
                  </w:rPr>
                </w:r>
              </w:p>
              <w:p w:rsidR="00000000" w:rsidDel="00000000" w:rsidP="00000000" w:rsidRDefault="00000000" w:rsidRPr="00000000" w14:paraId="000000CF">
                <w:pPr>
                  <w:spacing w:after="120" w:before="60" w:line="240" w:lineRule="auto"/>
                  <w:rPr>
                    <w:b w:val="1"/>
                    <w:sz w:val="24"/>
                    <w:szCs w:val="24"/>
                  </w:rPr>
                </w:pPr>
                <w:r w:rsidDel="00000000" w:rsidR="00000000" w:rsidRPr="00000000">
                  <w:rPr>
                    <w:rtl w:val="0"/>
                  </w:rPr>
                </w:r>
              </w:p>
            </w:tc>
          </w:tr>
          <w:tr>
            <w:trPr>
              <w:cantSplit w:val="0"/>
              <w:tblHeader w:val="0"/>
            </w:trPr>
            <w:tc>
              <w:tcPr>
                <w:gridSpan w:val="2"/>
                <w:shd w:fill="d9e2f3" w:val="clear"/>
              </w:tcPr>
              <w:p w:rsidR="00000000" w:rsidDel="00000000" w:rsidP="00000000" w:rsidRDefault="00000000" w:rsidRPr="00000000" w14:paraId="000000D1">
                <w:pPr>
                  <w:spacing w:after="120" w:before="60" w:line="240" w:lineRule="auto"/>
                  <w:rPr>
                    <w:i w:val="1"/>
                    <w:sz w:val="20"/>
                    <w:szCs w:val="20"/>
                  </w:rPr>
                </w:pPr>
                <w:r w:rsidDel="00000000" w:rsidR="00000000" w:rsidRPr="00000000">
                  <w:rPr>
                    <w:b w:val="1"/>
                    <w:sz w:val="36"/>
                    <w:szCs w:val="36"/>
                    <w:rtl w:val="0"/>
                  </w:rPr>
                  <w:t xml:space="preserve">SECTION C: Team</w:t>
                </w:r>
                <w:r w:rsidDel="00000000" w:rsidR="00000000" w:rsidRPr="00000000">
                  <w:rPr>
                    <w:rtl w:val="0"/>
                  </w:rPr>
                </w:r>
              </w:p>
              <w:p w:rsidR="00000000" w:rsidDel="00000000" w:rsidP="00000000" w:rsidRDefault="00000000" w:rsidRPr="00000000" w14:paraId="000000D2">
                <w:pPr>
                  <w:spacing w:after="120" w:before="60" w:line="240" w:lineRule="auto"/>
                  <w:rPr>
                    <w:i w:val="1"/>
                    <w:sz w:val="24"/>
                    <w:szCs w:val="24"/>
                  </w:rPr>
                </w:pPr>
                <w:r w:rsidDel="00000000" w:rsidR="00000000" w:rsidRPr="00000000">
                  <w:rPr>
                    <w:i w:val="1"/>
                    <w:sz w:val="20"/>
                    <w:szCs w:val="20"/>
                    <w:rtl w:val="0"/>
                  </w:rPr>
                  <w:t xml:space="preserve">Please provide details of the team who will be involved in delivering / supporting the development of the TOC:</w:t>
                </w:r>
                <w:r w:rsidDel="00000000" w:rsidR="00000000" w:rsidRPr="00000000">
                  <w:rPr>
                    <w:rtl w:val="0"/>
                  </w:rPr>
                </w:r>
              </w:p>
              <w:p w:rsidR="00000000" w:rsidDel="00000000" w:rsidP="00000000" w:rsidRDefault="00000000" w:rsidRPr="00000000" w14:paraId="000000D3">
                <w:pPr>
                  <w:numPr>
                    <w:ilvl w:val="0"/>
                    <w:numId w:val="3"/>
                  </w:numPr>
                  <w:spacing w:before="60" w:line="240" w:lineRule="auto"/>
                  <w:ind w:left="720" w:hanging="360"/>
                  <w:rPr>
                    <w:i w:val="1"/>
                    <w:sz w:val="20"/>
                    <w:szCs w:val="20"/>
                  </w:rPr>
                </w:pPr>
                <w:r w:rsidDel="00000000" w:rsidR="00000000" w:rsidRPr="00000000">
                  <w:rPr>
                    <w:i w:val="1"/>
                    <w:sz w:val="20"/>
                    <w:szCs w:val="20"/>
                    <w:rtl w:val="0"/>
                  </w:rPr>
                  <w:t xml:space="preserve">Details of key staff who will be involved with the ToC development.</w:t>
                </w:r>
              </w:p>
              <w:p w:rsidR="00000000" w:rsidDel="00000000" w:rsidP="00000000" w:rsidRDefault="00000000" w:rsidRPr="00000000" w14:paraId="000000D4">
                <w:pPr>
                  <w:numPr>
                    <w:ilvl w:val="0"/>
                    <w:numId w:val="3"/>
                  </w:numPr>
                  <w:spacing w:before="60" w:line="240" w:lineRule="auto"/>
                  <w:ind w:left="720" w:hanging="360"/>
                  <w:rPr>
                    <w:i w:val="1"/>
                    <w:sz w:val="20"/>
                    <w:szCs w:val="20"/>
                    <w:u w:val="none"/>
                  </w:rPr>
                </w:pPr>
                <w:r w:rsidDel="00000000" w:rsidR="00000000" w:rsidRPr="00000000">
                  <w:rPr>
                    <w:i w:val="1"/>
                    <w:sz w:val="20"/>
                    <w:szCs w:val="20"/>
                    <w:rtl w:val="0"/>
                  </w:rPr>
                  <w:t xml:space="preserve">The team’s involvement in developing the whole provider approach as part of the APP.</w:t>
                </w:r>
              </w:p>
              <w:p w:rsidR="00000000" w:rsidDel="00000000" w:rsidP="00000000" w:rsidRDefault="00000000" w:rsidRPr="00000000" w14:paraId="000000D5">
                <w:pPr>
                  <w:numPr>
                    <w:ilvl w:val="0"/>
                    <w:numId w:val="3"/>
                  </w:numPr>
                  <w:spacing w:before="60" w:line="240" w:lineRule="auto"/>
                  <w:ind w:left="720" w:hanging="360"/>
                  <w:rPr>
                    <w:i w:val="1"/>
                    <w:sz w:val="20"/>
                    <w:szCs w:val="20"/>
                  </w:rPr>
                </w:pPr>
                <w:r w:rsidDel="00000000" w:rsidR="00000000" w:rsidRPr="00000000">
                  <w:rPr>
                    <w:i w:val="1"/>
                    <w:sz w:val="20"/>
                    <w:szCs w:val="20"/>
                    <w:rtl w:val="0"/>
                  </w:rPr>
                  <w:t xml:space="preserve">Relevant knowledge and skills, of both the whole provider approach and creating ToCs.</w:t>
                </w:r>
              </w:p>
              <w:p w:rsidR="00000000" w:rsidDel="00000000" w:rsidP="00000000" w:rsidRDefault="00000000" w:rsidRPr="00000000" w14:paraId="000000D6">
                <w:pPr>
                  <w:numPr>
                    <w:ilvl w:val="0"/>
                    <w:numId w:val="3"/>
                  </w:numPr>
                  <w:spacing w:before="60" w:line="240" w:lineRule="auto"/>
                  <w:ind w:left="720" w:hanging="360"/>
                  <w:rPr>
                    <w:i w:val="1"/>
                    <w:sz w:val="20"/>
                    <w:szCs w:val="20"/>
                  </w:rPr>
                </w:pPr>
                <w:r w:rsidDel="00000000" w:rsidR="00000000" w:rsidRPr="00000000">
                  <w:rPr>
                    <w:i w:val="1"/>
                    <w:sz w:val="20"/>
                    <w:szCs w:val="20"/>
                    <w:rtl w:val="0"/>
                  </w:rPr>
                  <w:t xml:space="preserve">The team’s commitment to evidence-informed practice.</w:t>
                </w:r>
              </w:p>
              <w:p w:rsidR="00000000" w:rsidDel="00000000" w:rsidP="00000000" w:rsidRDefault="00000000" w:rsidRPr="00000000" w14:paraId="000000D7">
                <w:pPr>
                  <w:numPr>
                    <w:ilvl w:val="0"/>
                    <w:numId w:val="3"/>
                  </w:numPr>
                  <w:spacing w:before="60" w:line="240" w:lineRule="auto"/>
                  <w:ind w:left="720" w:hanging="360"/>
                  <w:rPr>
                    <w:i w:val="1"/>
                    <w:sz w:val="20"/>
                    <w:szCs w:val="20"/>
                  </w:rPr>
                </w:pPr>
                <w:r w:rsidDel="00000000" w:rsidR="00000000" w:rsidRPr="00000000">
                  <w:rPr>
                    <w:i w:val="1"/>
                    <w:sz w:val="20"/>
                    <w:szCs w:val="20"/>
                    <w:rtl w:val="0"/>
                  </w:rPr>
                  <w:t xml:space="preserve">Capacity to meet key responsibilities in table 1.</w:t>
                </w:r>
              </w:p>
              <w:p w:rsidR="00000000" w:rsidDel="00000000" w:rsidP="00000000" w:rsidRDefault="00000000" w:rsidRPr="00000000" w14:paraId="000000D8">
                <w:pPr>
                  <w:spacing w:after="120" w:before="60" w:line="240" w:lineRule="auto"/>
                  <w:rPr>
                    <w:b w:val="1"/>
                    <w:sz w:val="36"/>
                    <w:szCs w:val="36"/>
                  </w:rPr>
                </w:pPr>
                <w:r w:rsidDel="00000000" w:rsidR="00000000" w:rsidRPr="00000000">
                  <w:rPr>
                    <w:i w:val="1"/>
                    <w:sz w:val="20"/>
                    <w:szCs w:val="20"/>
                    <w:rtl w:val="0"/>
                  </w:rPr>
                  <w:t xml:space="preserve">[500 words max]</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DA">
                <w:pPr>
                  <w:spacing w:line="264" w:lineRule="auto"/>
                  <w:rPr>
                    <w:color w:val="3b66bc"/>
                    <w:sz w:val="24"/>
                    <w:szCs w:val="24"/>
                  </w:rPr>
                </w:pPr>
                <w:r w:rsidDel="00000000" w:rsidR="00000000" w:rsidRPr="00000000">
                  <w:rPr>
                    <w:rtl w:val="0"/>
                  </w:rPr>
                </w:r>
              </w:p>
              <w:p w:rsidR="00000000" w:rsidDel="00000000" w:rsidP="00000000" w:rsidRDefault="00000000" w:rsidRPr="00000000" w14:paraId="000000DB">
                <w:pPr>
                  <w:spacing w:line="264" w:lineRule="auto"/>
                  <w:rPr>
                    <w:color w:val="3b66bc"/>
                    <w:sz w:val="24"/>
                    <w:szCs w:val="24"/>
                  </w:rPr>
                </w:pPr>
                <w:r w:rsidDel="00000000" w:rsidR="00000000" w:rsidRPr="00000000">
                  <w:rPr>
                    <w:rtl w:val="0"/>
                  </w:rPr>
                </w:r>
              </w:p>
              <w:p w:rsidR="00000000" w:rsidDel="00000000" w:rsidP="00000000" w:rsidRDefault="00000000" w:rsidRPr="00000000" w14:paraId="000000DC">
                <w:pPr>
                  <w:spacing w:line="264" w:lineRule="auto"/>
                  <w:rPr>
                    <w:color w:val="3b66bc"/>
                    <w:sz w:val="24"/>
                    <w:szCs w:val="24"/>
                  </w:rPr>
                </w:pPr>
                <w:r w:rsidDel="00000000" w:rsidR="00000000" w:rsidRPr="00000000">
                  <w:rPr>
                    <w:rtl w:val="0"/>
                  </w:rPr>
                </w:r>
              </w:p>
              <w:p w:rsidR="00000000" w:rsidDel="00000000" w:rsidP="00000000" w:rsidRDefault="00000000" w:rsidRPr="00000000" w14:paraId="000000DD">
                <w:pPr>
                  <w:spacing w:line="264" w:lineRule="auto"/>
                  <w:rPr>
                    <w:color w:val="3b66bc"/>
                    <w:sz w:val="24"/>
                    <w:szCs w:val="24"/>
                  </w:rPr>
                </w:pPr>
                <w:r w:rsidDel="00000000" w:rsidR="00000000" w:rsidRPr="00000000">
                  <w:rPr>
                    <w:rtl w:val="0"/>
                  </w:rPr>
                </w:r>
              </w:p>
              <w:p w:rsidR="00000000" w:rsidDel="00000000" w:rsidP="00000000" w:rsidRDefault="00000000" w:rsidRPr="00000000" w14:paraId="000000DE">
                <w:pPr>
                  <w:spacing w:line="264" w:lineRule="auto"/>
                  <w:rPr>
                    <w:color w:val="3b66bc"/>
                    <w:sz w:val="24"/>
                    <w:szCs w:val="24"/>
                  </w:rPr>
                </w:pPr>
                <w:r w:rsidDel="00000000" w:rsidR="00000000" w:rsidRPr="00000000">
                  <w:rPr>
                    <w:rtl w:val="0"/>
                  </w:rPr>
                </w:r>
              </w:p>
            </w:tc>
          </w:tr>
        </w:tbl>
      </w:sdtContent>
    </w:sdt>
    <w:p w:rsidR="00000000" w:rsidDel="00000000" w:rsidP="00000000" w:rsidRDefault="00000000" w:rsidRPr="00000000" w14:paraId="000000E0">
      <w:pPr>
        <w:rPr/>
      </w:pPr>
      <w:r w:rsidDel="00000000" w:rsidR="00000000" w:rsidRPr="00000000">
        <w:rPr>
          <w:rtl w:val="0"/>
        </w:rPr>
      </w:r>
    </w:p>
    <w:sectPr>
      <w:headerReference r:id="rId28" w:type="default"/>
      <w:footerReference r:id="rId2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Georgia"/>
  <w:font w:name="Courier New"/>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drawing>
        <wp:anchor allowOverlap="1" behindDoc="0" distB="101600" distT="0" distL="0" distR="0" hidden="0" layoutInCell="1" locked="0" relativeHeight="0" simplePos="0">
          <wp:simplePos x="0" y="0"/>
          <wp:positionH relativeFrom="page">
            <wp:posOffset>66675</wp:posOffset>
          </wp:positionH>
          <wp:positionV relativeFrom="page">
            <wp:posOffset>0</wp:posOffset>
          </wp:positionV>
          <wp:extent cx="2828925" cy="847725"/>
          <wp:effectExtent b="0" l="0" r="0" t="0"/>
          <wp:wrapSquare wrapText="bothSides" distB="101600" distT="0" distL="0" distR="0"/>
          <wp:docPr descr="A picture containing object&#10;&#10;Description automatically generated" id="261300549" name="image1.png"/>
          <a:graphic>
            <a:graphicData uri="http://schemas.openxmlformats.org/drawingml/2006/picture">
              <pic:pic>
                <pic:nvPicPr>
                  <pic:cNvPr descr="A picture containing object&#10;&#10;Description automatically generated" id="0" name="image1.png"/>
                  <pic:cNvPicPr preferRelativeResize="0"/>
                </pic:nvPicPr>
                <pic:blipFill>
                  <a:blip r:embed="rId1"/>
                  <a:srcRect b="0" l="0" r="0" t="0"/>
                  <a:stretch>
                    <a:fillRect/>
                  </a:stretch>
                </pic:blipFill>
                <pic:spPr>
                  <a:xfrm>
                    <a:off x="0" y="0"/>
                    <a:ext cx="2828925" cy="8477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016C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ED2C30"/>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link w:val="Heading3Char"/>
    <w:uiPriority w:val="9"/>
    <w:semiHidden w:val="1"/>
    <w:unhideWhenUsed w:val="1"/>
    <w:qFormat w:val="1"/>
    <w:rsid w:val="00A66B47"/>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C016C7"/>
    <w:pPr>
      <w:ind w:left="720"/>
      <w:contextualSpacing w:val="1"/>
    </w:pPr>
  </w:style>
  <w:style w:type="paragraph" w:styleId="NormalWeb">
    <w:name w:val="Normal (Web)"/>
    <w:basedOn w:val="Normal"/>
    <w:uiPriority w:val="99"/>
    <w:semiHidden w:val="1"/>
    <w:unhideWhenUsed w:val="1"/>
    <w:rsid w:val="00F976E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163C7"/>
    <w:rPr>
      <w:color w:val="0563c1" w:themeColor="hyperlink"/>
      <w:u w:val="single"/>
    </w:rPr>
  </w:style>
  <w:style w:type="character" w:styleId="UnresolvedMention">
    <w:name w:val="Unresolved Mention"/>
    <w:basedOn w:val="DefaultParagraphFont"/>
    <w:uiPriority w:val="99"/>
    <w:rsid w:val="007163C7"/>
    <w:rPr>
      <w:color w:val="605e5c"/>
      <w:shd w:color="auto" w:fill="e1dfdd" w:val="clear"/>
    </w:rPr>
  </w:style>
  <w:style w:type="character" w:styleId="FollowedHyperlink">
    <w:name w:val="FollowedHyperlink"/>
    <w:basedOn w:val="DefaultParagraphFont"/>
    <w:uiPriority w:val="99"/>
    <w:semiHidden w:val="1"/>
    <w:unhideWhenUsed w:val="1"/>
    <w:rsid w:val="007163C7"/>
    <w:rPr>
      <w:color w:val="954f72" w:themeColor="followedHyperlink"/>
      <w:u w:val="single"/>
    </w:rPr>
  </w:style>
  <w:style w:type="character" w:styleId="Heading2Char" w:customStyle="1">
    <w:name w:val="Heading 2 Char"/>
    <w:basedOn w:val="DefaultParagraphFont"/>
    <w:link w:val="Heading2"/>
    <w:uiPriority w:val="9"/>
    <w:rsid w:val="00ED2C30"/>
    <w:rPr>
      <w:rFonts w:ascii="Times New Roman" w:cs="Times New Roman" w:eastAsia="Times New Roman" w:hAnsi="Times New Roman"/>
      <w:b w:val="1"/>
      <w:bCs w:val="1"/>
      <w:sz w:val="36"/>
      <w:szCs w:val="36"/>
      <w:lang w:eastAsia="en-GB"/>
    </w:rPr>
  </w:style>
  <w:style w:type="character" w:styleId="normaltextrun" w:customStyle="1">
    <w:name w:val="normaltextrun"/>
    <w:basedOn w:val="DefaultParagraphFont"/>
    <w:rsid w:val="00BA1693"/>
  </w:style>
  <w:style w:type="character" w:styleId="CommentReference">
    <w:name w:val="annotation reference"/>
    <w:basedOn w:val="DefaultParagraphFont"/>
    <w:uiPriority w:val="99"/>
    <w:semiHidden w:val="1"/>
    <w:unhideWhenUsed w:val="1"/>
    <w:rsid w:val="00E3189B"/>
    <w:rPr>
      <w:sz w:val="16"/>
      <w:szCs w:val="16"/>
    </w:rPr>
  </w:style>
  <w:style w:type="paragraph" w:styleId="CommentText">
    <w:name w:val="annotation text"/>
    <w:basedOn w:val="Normal"/>
    <w:link w:val="CommentTextChar"/>
    <w:uiPriority w:val="99"/>
    <w:unhideWhenUsed w:val="1"/>
    <w:rsid w:val="00E3189B"/>
    <w:pPr>
      <w:spacing w:line="240" w:lineRule="auto"/>
    </w:pPr>
    <w:rPr>
      <w:sz w:val="20"/>
      <w:szCs w:val="20"/>
    </w:rPr>
  </w:style>
  <w:style w:type="character" w:styleId="CommentTextChar" w:customStyle="1">
    <w:name w:val="Comment Text Char"/>
    <w:basedOn w:val="DefaultParagraphFont"/>
    <w:link w:val="CommentText"/>
    <w:uiPriority w:val="99"/>
    <w:rsid w:val="00E3189B"/>
    <w:rPr>
      <w:rFonts w:ascii="Arial" w:cs="Arial" w:eastAsia="Arial" w:hAnsi="Arial"/>
      <w:sz w:val="20"/>
      <w:szCs w:val="20"/>
      <w:lang w:eastAsia="en-GB"/>
    </w:rPr>
  </w:style>
  <w:style w:type="paragraph" w:styleId="CommentSubject">
    <w:name w:val="annotation subject"/>
    <w:basedOn w:val="CommentText"/>
    <w:next w:val="CommentText"/>
    <w:link w:val="CommentSubjectChar"/>
    <w:uiPriority w:val="99"/>
    <w:semiHidden w:val="1"/>
    <w:unhideWhenUsed w:val="1"/>
    <w:rsid w:val="00E3189B"/>
    <w:rPr>
      <w:b w:val="1"/>
      <w:bCs w:val="1"/>
    </w:rPr>
  </w:style>
  <w:style w:type="character" w:styleId="CommentSubjectChar" w:customStyle="1">
    <w:name w:val="Comment Subject Char"/>
    <w:basedOn w:val="CommentTextChar"/>
    <w:link w:val="CommentSubject"/>
    <w:uiPriority w:val="99"/>
    <w:semiHidden w:val="1"/>
    <w:rsid w:val="00E3189B"/>
    <w:rPr>
      <w:rFonts w:ascii="Arial" w:cs="Arial" w:eastAsia="Arial" w:hAnsi="Arial"/>
      <w:b w:val="1"/>
      <w:bCs w:val="1"/>
      <w:sz w:val="20"/>
      <w:szCs w:val="20"/>
      <w:lang w:eastAsia="en-GB"/>
    </w:rPr>
  </w:style>
  <w:style w:type="paragraph" w:styleId="BalloonText">
    <w:name w:val="Balloon Text"/>
    <w:basedOn w:val="Normal"/>
    <w:link w:val="BalloonTextChar"/>
    <w:uiPriority w:val="99"/>
    <w:semiHidden w:val="1"/>
    <w:unhideWhenUsed w:val="1"/>
    <w:rsid w:val="00E3189B"/>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3189B"/>
    <w:rPr>
      <w:rFonts w:ascii="Times New Roman" w:cs="Times New Roman" w:eastAsia="Arial" w:hAnsi="Times New Roman"/>
      <w:sz w:val="18"/>
      <w:szCs w:val="18"/>
      <w:lang w:eastAsia="en-GB"/>
    </w:rPr>
  </w:style>
  <w:style w:type="paragraph" w:styleId="paragraph" w:customStyle="1">
    <w:name w:val="paragraph"/>
    <w:basedOn w:val="Normal"/>
    <w:rsid w:val="00716428"/>
    <w:pPr>
      <w:spacing w:after="100" w:afterAutospacing="1" w:before="100" w:beforeAutospacing="1" w:line="240" w:lineRule="auto"/>
    </w:pPr>
    <w:rPr>
      <w:rFonts w:ascii="Times New Roman" w:cs="Times New Roman" w:eastAsia="Times New Roman" w:hAnsi="Times New Roman"/>
      <w:sz w:val="24"/>
      <w:szCs w:val="24"/>
    </w:rPr>
  </w:style>
  <w:style w:type="character" w:styleId="eop" w:customStyle="1">
    <w:name w:val="eop"/>
    <w:basedOn w:val="DefaultParagraphFont"/>
    <w:rsid w:val="00716428"/>
  </w:style>
  <w:style w:type="paragraph" w:styleId="Header">
    <w:name w:val="header"/>
    <w:basedOn w:val="Normal"/>
    <w:link w:val="HeaderChar"/>
    <w:uiPriority w:val="99"/>
    <w:unhideWhenUsed w:val="1"/>
    <w:rsid w:val="00D85DA7"/>
    <w:pPr>
      <w:tabs>
        <w:tab w:val="center" w:pos="4513"/>
        <w:tab w:val="right" w:pos="9026"/>
      </w:tabs>
      <w:spacing w:line="240" w:lineRule="auto"/>
    </w:pPr>
  </w:style>
  <w:style w:type="character" w:styleId="HeaderChar" w:customStyle="1">
    <w:name w:val="Header Char"/>
    <w:basedOn w:val="DefaultParagraphFont"/>
    <w:link w:val="Header"/>
    <w:uiPriority w:val="99"/>
    <w:rsid w:val="00D85DA7"/>
    <w:rPr>
      <w:rFonts w:ascii="Arial" w:cs="Arial" w:eastAsia="Arial" w:hAnsi="Arial"/>
      <w:sz w:val="22"/>
      <w:szCs w:val="22"/>
      <w:lang w:eastAsia="en-GB"/>
    </w:rPr>
  </w:style>
  <w:style w:type="paragraph" w:styleId="Footer">
    <w:name w:val="footer"/>
    <w:basedOn w:val="Normal"/>
    <w:link w:val="FooterChar"/>
    <w:uiPriority w:val="99"/>
    <w:unhideWhenUsed w:val="1"/>
    <w:rsid w:val="00D85DA7"/>
    <w:pPr>
      <w:tabs>
        <w:tab w:val="center" w:pos="4513"/>
        <w:tab w:val="right" w:pos="9026"/>
      </w:tabs>
      <w:spacing w:line="240" w:lineRule="auto"/>
    </w:pPr>
  </w:style>
  <w:style w:type="character" w:styleId="FooterChar" w:customStyle="1">
    <w:name w:val="Footer Char"/>
    <w:basedOn w:val="DefaultParagraphFont"/>
    <w:link w:val="Footer"/>
    <w:uiPriority w:val="99"/>
    <w:rsid w:val="00D85DA7"/>
    <w:rPr>
      <w:rFonts w:ascii="Arial" w:cs="Arial" w:eastAsia="Arial" w:hAnsi="Arial"/>
      <w:sz w:val="22"/>
      <w:szCs w:val="22"/>
      <w:lang w:eastAsia="en-GB"/>
    </w:rPr>
  </w:style>
  <w:style w:type="table" w:styleId="TableGrid">
    <w:name w:val="Table Grid"/>
    <w:basedOn w:val="TableNormal"/>
    <w:uiPriority w:val="59"/>
    <w:rsid w:val="00674F9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locked w:val="1"/>
    <w:rsid w:val="001735E2"/>
    <w:rPr>
      <w:rFonts w:ascii="Arial" w:cs="Arial" w:eastAsia="Arial" w:hAnsi="Arial"/>
      <w:sz w:val="22"/>
      <w:szCs w:val="22"/>
      <w:lang w:eastAsia="en-GB"/>
    </w:rPr>
  </w:style>
  <w:style w:type="character" w:styleId="Heading3Char" w:customStyle="1">
    <w:name w:val="Heading 3 Char"/>
    <w:basedOn w:val="DefaultParagraphFont"/>
    <w:link w:val="Heading3"/>
    <w:uiPriority w:val="9"/>
    <w:semiHidden w:val="1"/>
    <w:rsid w:val="00A66B47"/>
    <w:rPr>
      <w:rFonts w:asciiTheme="majorHAnsi" w:cstheme="majorBidi" w:eastAsiaTheme="majorEastAsia" w:hAnsiTheme="majorHAnsi"/>
      <w:color w:val="1f3763" w:themeColor="accent1" w:themeShade="00007F"/>
      <w:lang w:eastAsia="en-GB"/>
    </w:rPr>
  </w:style>
  <w:style w:type="table" w:styleId="TableGrid1" w:customStyle="1">
    <w:name w:val="Table Grid1"/>
    <w:basedOn w:val="TableNormal"/>
    <w:next w:val="TableGrid"/>
    <w:uiPriority w:val="59"/>
    <w:rsid w:val="005C6147"/>
    <w:pPr>
      <w:pBdr>
        <w:top w:space="0" w:sz="0" w:val="nil"/>
        <w:left w:space="0" w:sz="0" w:val="nil"/>
        <w:bottom w:space="0" w:sz="0" w:val="nil"/>
        <w:right w:space="0" w:sz="0" w:val="nil"/>
        <w:between w:space="0" w:sz="0" w:val="nil"/>
      </w:pBdr>
    </w:pPr>
    <w:rPr>
      <w:color w:val="000000"/>
      <w:lang w:val="e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a0" w:customSty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a1" w:customSty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a2" w:customSty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a3" w:customSty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table" w:styleId="a4" w:customSty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fficeforstudents.org.uk/media/8973/regulatory_advice_6_how_to_prepare_an_access_and_participation_plan_dec2023.pdf" TargetMode="External"/><Relationship Id="rId22" Type="http://schemas.openxmlformats.org/officeDocument/2006/relationships/hyperlink" Target="mailto:research@taso.org.uk" TargetMode="External"/><Relationship Id="rId21" Type="http://schemas.openxmlformats.org/officeDocument/2006/relationships/hyperlink" Target="https://www.tickettailor.com/events/taso/1494205" TargetMode="External"/><Relationship Id="rId24" Type="http://schemas.openxmlformats.org/officeDocument/2006/relationships/hyperlink" Target="https://www.officeforstudents.org.uk/media/8973/regulatory_advice_6_how_to_prepare_an_access_and_participation_plan_dec2023.pdf" TargetMode="External"/><Relationship Id="rId23" Type="http://schemas.openxmlformats.org/officeDocument/2006/relationships/hyperlink" Target="https://www.officeforstudents.org.uk/media/8077/regulatory-notice-1-access-and-participation-plan-guidance-march-2023.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what-works-network" TargetMode="External"/><Relationship Id="rId26" Type="http://schemas.openxmlformats.org/officeDocument/2006/relationships/hyperlink" Target="https://taso.org.uk/taso-privacy-notice/" TargetMode="External"/><Relationship Id="rId25" Type="http://schemas.openxmlformats.org/officeDocument/2006/relationships/hyperlink" Target="https://www.officeforstudents.org.uk/media/8973/regulatory_advice_6_how_to_prepare_an_access_and_participation_plan_dec2023.pdf" TargetMode="External"/><Relationship Id="rId28" Type="http://schemas.openxmlformats.org/officeDocument/2006/relationships/header" Target="header1.xml"/><Relationship Id="rId27" Type="http://schemas.openxmlformats.org/officeDocument/2006/relationships/hyperlink" Target="https://taso.org.uk/taso-privacy-notic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https://www.officeforstudents.org.uk/media/8077/regulatory-notice-1-access-and-participation-plan-guidance-march-2023.pdf" TargetMode="External"/><Relationship Id="rId8" Type="http://schemas.openxmlformats.org/officeDocument/2006/relationships/hyperlink" Target="https://www.officeforstudents.org.uk/media/8973/regulatory_advice_6_how_to_prepare_an_access_and_participation_plan_dec2023.pdf" TargetMode="External"/><Relationship Id="rId11" Type="http://schemas.openxmlformats.org/officeDocument/2006/relationships/hyperlink" Target="https://taso.org.uk/evidence/toolkit/what-is-causal-evidence/" TargetMode="External"/><Relationship Id="rId10" Type="http://schemas.openxmlformats.org/officeDocument/2006/relationships/hyperlink" Target="https://www.gov.uk/guidance/what-works-network" TargetMode="External"/><Relationship Id="rId13" Type="http://schemas.openxmlformats.org/officeDocument/2006/relationships/hyperlink" Target="https://www.officeforstudents.org.uk/media/8077/regulatory-notice-1-access-and-participation-plan-guidance-march-2023.pdf" TargetMode="External"/><Relationship Id="rId12" Type="http://schemas.openxmlformats.org/officeDocument/2006/relationships/hyperlink" Target="https://taso.org.uk/evidence/toolkit/what-is-causal-evidence/" TargetMode="External"/><Relationship Id="rId15" Type="http://schemas.openxmlformats.org/officeDocument/2006/relationships/hyperlink" Target="https://www.york.ac.uk/education/research/cresj/news/2024/widening-access/" TargetMode="External"/><Relationship Id="rId14" Type="http://schemas.openxmlformats.org/officeDocument/2006/relationships/hyperlink" Target="https://www.officeforstudents.org.uk/media/8973/regulatory_advice_6_how_to_prepare_an_access_and_participation_plan_dec2023.pdf" TargetMode="External"/><Relationship Id="rId17" Type="http://schemas.openxmlformats.org/officeDocument/2006/relationships/hyperlink" Target="https://taso.org.uk/evidence/evaluation-guidance-resources/toc/" TargetMode="External"/><Relationship Id="rId16" Type="http://schemas.openxmlformats.org/officeDocument/2006/relationships/hyperlink" Target="https://www.york.ac.uk/education/research/cresj/news/2024/widening-access/" TargetMode="External"/><Relationship Id="rId19" Type="http://schemas.openxmlformats.org/officeDocument/2006/relationships/hyperlink" Target="https://taso.org.uk/evidence/evaluation-guidance-resources/toc/" TargetMode="External"/><Relationship Id="rId18" Type="http://schemas.openxmlformats.org/officeDocument/2006/relationships/hyperlink" Target="https://taso.org.uk/evidence/evaluation-guidance-resources/to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Lrq6C/fTKqPvrrN1q8bA8SMmA==">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2021-02-01T18:46:00Z</dcterms:created>
  <dc:creator>Rain Sherlock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0x010100CFFB2645B4192C469F8306416C22C8A4</vt:lpwstr>
  </property>
</Properties>
</file>